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4860A9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</w:t>
      </w:r>
      <w:r w:rsidR="002176BC">
        <w:rPr>
          <w:rFonts w:ascii="Arial" w:hAnsi="Arial" w:cs="Arial"/>
          <w:b/>
          <w:bCs/>
          <w:sz w:val="28"/>
          <w:szCs w:val="28"/>
        </w:rPr>
        <w:t>19</w:t>
      </w:r>
    </w:p>
    <w:p w:rsidR="0047211E" w:rsidRDefault="00D77ADC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SUB BAGIAN </w:t>
      </w:r>
      <w:r w:rsidR="000B7AF7">
        <w:rPr>
          <w:rFonts w:ascii="Arial" w:hAnsi="Arial" w:cs="Arial"/>
          <w:sz w:val="24"/>
          <w:szCs w:val="24"/>
          <w:lang w:val="en-US"/>
        </w:rPr>
        <w:t>PERENCANAAN, EVALUASI DAN PELAPORAN</w:t>
      </w:r>
    </w:p>
    <w:p w:rsidR="00D77ADC" w:rsidRPr="008801CF" w:rsidRDefault="00D77ADC" w:rsidP="008801C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74FD" w:rsidRPr="002D67EC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2D67E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2D67E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2D67EC" w:rsidRDefault="008801CF" w:rsidP="004860A9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D67EC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>.</w:t>
      </w:r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2D67EC" w:rsidRDefault="008801CF" w:rsidP="004860A9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>.</w:t>
      </w:r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2D67EC" w:rsidRDefault="008801CF" w:rsidP="004860A9">
      <w:pPr>
        <w:spacing w:after="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2D67EC" w:rsidRDefault="00BE509B" w:rsidP="004860A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2D67E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2D67E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2D67E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2D67EC" w:rsidRDefault="00BE509B" w:rsidP="004860A9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2D67EC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>;</w:t>
      </w:r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2D67EC" w:rsidRDefault="00BE509B" w:rsidP="004860A9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>.</w:t>
      </w:r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2D67EC" w:rsidRDefault="008801CF" w:rsidP="004860A9">
      <w:pPr>
        <w:spacing w:after="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4860A9" w:rsidRDefault="00BE509B" w:rsidP="004860A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12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4860A9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4860A9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4860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860A9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4860A9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2D67EC" w:rsidRDefault="008801CF" w:rsidP="004860A9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>.</w:t>
      </w:r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2D67EC" w:rsidRDefault="008801CF" w:rsidP="004860A9">
      <w:pPr>
        <w:spacing w:after="0" w:line="312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2D67EC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2D67EC" w:rsidRDefault="00BE509B" w:rsidP="004860A9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2D67E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2D67EC" w:rsidRDefault="00F84C43" w:rsidP="004860A9">
      <w:pPr>
        <w:widowControl w:val="0"/>
        <w:autoSpaceDE w:val="0"/>
        <w:autoSpaceDN w:val="0"/>
        <w:adjustRightInd w:val="0"/>
        <w:spacing w:after="0" w:line="312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Sub </w:t>
      </w:r>
      <w:proofErr w:type="spellStart"/>
      <w:r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>Bagian</w:t>
      </w:r>
      <w:proofErr w:type="spellEnd"/>
      <w:r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="000B7AF7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>Perencanaan</w:t>
      </w:r>
      <w:proofErr w:type="spellEnd"/>
      <w:r w:rsidR="000B7AF7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, </w:t>
      </w:r>
      <w:proofErr w:type="spellStart"/>
      <w:r w:rsidR="000B7AF7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>Evaluasi</w:t>
      </w:r>
      <w:proofErr w:type="spellEnd"/>
      <w:r w:rsidR="000B7AF7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="000B7AF7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>dan</w:t>
      </w:r>
      <w:proofErr w:type="spellEnd"/>
      <w:r w:rsidR="000B7AF7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="000B7AF7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>Pelaporan</w:t>
      </w:r>
      <w:proofErr w:type="spellEnd"/>
      <w:r w:rsidR="004226C4" w:rsidRPr="002D67EC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r w:rsidR="00CB2FAF" w:rsidRPr="002D67E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2D67EC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2D67E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2D67EC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2D67E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2D67EC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2D67E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2D67EC">
        <w:rPr>
          <w:rFonts w:ascii="Arial" w:hAnsi="Arial" w:cs="Arial"/>
          <w:color w:val="000000"/>
          <w:sz w:val="24"/>
          <w:szCs w:val="24"/>
        </w:rPr>
        <w:t>i t</w:t>
      </w:r>
      <w:r w:rsidR="00CB2FAF" w:rsidRPr="002D67E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2D67EC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2D67E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2D67EC">
        <w:rPr>
          <w:rFonts w:ascii="Arial" w:hAnsi="Arial" w:cs="Arial"/>
          <w:color w:val="000000"/>
          <w:sz w:val="24"/>
          <w:szCs w:val="24"/>
        </w:rPr>
        <w:t>s: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Menyusun rencana kegiatan Sub Bagian Perencanaan, Evaluasi dan Pelaporan;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Menyiapkan bahan penyusunan rencana strategis Dinas;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Menyiapkan rumusan kebijakan program kerja dan rencana kerja kegiatan Dinas;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Melaksanakan koordinasi, sinkronisasi penyusunan rencana kerja kegiatan tahunan;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Melaksanakan koordinasi dalam rangka penyusunan bahan monitoring, evaluasi dan laporan kegiatan sebagai sarana pertimbangan kepada pimpinan;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Mengkompilasikan dan penyusunan laporan hasil laporan perencanaan dan laporan akuntabilitas kinerja Dinas;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Melakukan penyusunan laporam tahunan dan laporan lainnya;</w:t>
      </w:r>
    </w:p>
    <w:p w:rsidR="000B7AF7" w:rsidRPr="002D67EC" w:rsidRDefault="000B7AF7" w:rsidP="004860A9">
      <w:pPr>
        <w:numPr>
          <w:ilvl w:val="3"/>
          <w:numId w:val="30"/>
        </w:numPr>
        <w:spacing w:after="0" w:line="312" w:lineRule="auto"/>
        <w:ind w:left="993" w:hanging="284"/>
        <w:jc w:val="both"/>
        <w:rPr>
          <w:rFonts w:ascii="Arial" w:hAnsi="Arial" w:cs="Arial"/>
          <w:b/>
          <w:bCs/>
          <w:sz w:val="24"/>
          <w:szCs w:val="24"/>
          <w:lang w:val="sv-SE"/>
        </w:rPr>
      </w:pPr>
      <w:r w:rsidRPr="002D67EC">
        <w:rPr>
          <w:rFonts w:ascii="Arial" w:hAnsi="Arial" w:cs="Arial"/>
          <w:sz w:val="24"/>
          <w:szCs w:val="24"/>
        </w:rPr>
        <w:t>Melaksanakan tugas lain yang diberikan oleh Sekretaris Dinas sesuai dengan bidang tugasnya</w:t>
      </w:r>
      <w:r w:rsidRPr="002D67EC">
        <w:rPr>
          <w:rFonts w:ascii="Arial" w:hAnsi="Arial" w:cs="Arial"/>
          <w:sz w:val="24"/>
          <w:szCs w:val="24"/>
          <w:lang w:val="en-US"/>
        </w:rPr>
        <w:t>.</w:t>
      </w:r>
    </w:p>
    <w:p w:rsidR="002D67EC" w:rsidRDefault="002D67E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4F1148" w:rsidRPr="002D67EC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2D67EC">
        <w:rPr>
          <w:rFonts w:ascii="Arial" w:hAnsi="Arial" w:cs="Arial"/>
          <w:bCs/>
          <w:sz w:val="24"/>
          <w:szCs w:val="24"/>
        </w:rPr>
        <w:lastRenderedPageBreak/>
        <w:t xml:space="preserve">Perencanaan/Perjanjian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2D67EC">
        <w:rPr>
          <w:rFonts w:ascii="Arial" w:hAnsi="Arial" w:cs="Arial"/>
          <w:bCs/>
          <w:sz w:val="24"/>
          <w:szCs w:val="24"/>
        </w:rPr>
        <w:t xml:space="preserve"> Tahun 20</w:t>
      </w:r>
      <w:r w:rsidR="002176BC">
        <w:rPr>
          <w:rFonts w:ascii="Arial" w:hAnsi="Arial" w:cs="Arial"/>
          <w:bCs/>
          <w:sz w:val="24"/>
          <w:szCs w:val="24"/>
        </w:rPr>
        <w:t>19</w:t>
      </w:r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8265" w:type="dxa"/>
        <w:tblInd w:w="109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07"/>
        <w:gridCol w:w="2984"/>
        <w:gridCol w:w="3466"/>
        <w:gridCol w:w="1208"/>
      </w:tblGrid>
      <w:tr w:rsidR="000B7AF7" w:rsidRPr="000B7AF7" w:rsidTr="002D67EC">
        <w:trPr>
          <w:trHeight w:val="31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0B7AF7">
              <w:rPr>
                <w:rFonts w:ascii="Arial" w:hAnsi="Arial" w:cs="Arial"/>
              </w:rPr>
              <w:t>No</w:t>
            </w:r>
          </w:p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0B7AF7" w:rsidRPr="000B7AF7" w:rsidRDefault="000B7AF7" w:rsidP="000B7AF7">
            <w:pPr>
              <w:spacing w:after="0"/>
              <w:jc w:val="center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>Indikator Kinerja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0B7AF7" w:rsidRPr="000B7AF7" w:rsidRDefault="000B7AF7" w:rsidP="00F435B7">
            <w:pPr>
              <w:spacing w:after="0"/>
              <w:jc w:val="center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>Target</w:t>
            </w:r>
          </w:p>
        </w:tc>
      </w:tr>
      <w:tr w:rsidR="000B7AF7" w:rsidRPr="000B7AF7" w:rsidTr="002D67E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7AF7" w:rsidRPr="000B7AF7" w:rsidRDefault="000B7AF7" w:rsidP="00F435B7">
            <w:pPr>
              <w:spacing w:after="0" w:line="240" w:lineRule="auto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>1.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FFFFF" w:themeFill="background1"/>
            <w:hideMark/>
          </w:tcPr>
          <w:p w:rsidR="000B7AF7" w:rsidRPr="004860A9" w:rsidRDefault="003621C6" w:rsidP="004860A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Meningkatnya kualitas dokumen perencanaan dan pelaporan.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B7AF7" w:rsidRDefault="000B7AF7" w:rsidP="00F435B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 xml:space="preserve">Jumlah dokumen perencanaan yang </w:t>
            </w:r>
            <w:r w:rsidR="003621C6">
              <w:rPr>
                <w:rFonts w:ascii="Arial" w:hAnsi="Arial" w:cs="Arial"/>
              </w:rPr>
              <w:t>sesuai pedoman</w:t>
            </w:r>
          </w:p>
          <w:p w:rsidR="002D67EC" w:rsidRPr="000B7AF7" w:rsidRDefault="002D67EC" w:rsidP="00F435B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7AF7" w:rsidRPr="004860A9" w:rsidRDefault="004860A9" w:rsidP="00F435B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  <w:p w:rsidR="000B7AF7" w:rsidRPr="000B7AF7" w:rsidRDefault="000B7AF7" w:rsidP="00F435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>Dokumen</w:t>
            </w:r>
          </w:p>
        </w:tc>
      </w:tr>
      <w:tr w:rsidR="000B7AF7" w:rsidRPr="000B7AF7" w:rsidTr="002D67EC">
        <w:trPr>
          <w:trHeight w:val="480"/>
        </w:trPr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7AF7" w:rsidRPr="000B7AF7" w:rsidRDefault="000B7AF7" w:rsidP="00F435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8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B7AF7" w:rsidRPr="000B7AF7" w:rsidRDefault="000B7AF7" w:rsidP="00F435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B7AF7" w:rsidRPr="000B7AF7" w:rsidRDefault="000B7AF7" w:rsidP="003621C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 xml:space="preserve">Jumlah dokumen </w:t>
            </w:r>
            <w:r w:rsidR="003621C6">
              <w:rPr>
                <w:rFonts w:ascii="Arial" w:hAnsi="Arial" w:cs="Arial"/>
              </w:rPr>
              <w:t>pelaporan penyelenggaraan pemerintahan yang sesuai pedoman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B7AF7" w:rsidRPr="000B7AF7" w:rsidRDefault="000B7AF7" w:rsidP="004860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 xml:space="preserve"> </w:t>
            </w:r>
            <w:r w:rsidR="004860A9">
              <w:rPr>
                <w:rFonts w:ascii="Arial" w:hAnsi="Arial" w:cs="Arial"/>
                <w:lang w:val="en-US"/>
              </w:rPr>
              <w:t>6</w:t>
            </w:r>
            <w:r w:rsidRPr="000B7AF7">
              <w:rPr>
                <w:rFonts w:ascii="Arial" w:hAnsi="Arial" w:cs="Arial"/>
              </w:rPr>
              <w:t xml:space="preserve"> Dokumen</w:t>
            </w:r>
          </w:p>
        </w:tc>
      </w:tr>
    </w:tbl>
    <w:p w:rsidR="002D67EC" w:rsidRDefault="002D67EC" w:rsidP="000B7AF7">
      <w:pPr>
        <w:spacing w:after="0" w:line="360" w:lineRule="auto"/>
        <w:ind w:left="720"/>
        <w:rPr>
          <w:rFonts w:ascii="Arial" w:hAnsi="Arial" w:cs="Arial"/>
          <w:bCs/>
        </w:rPr>
      </w:pPr>
    </w:p>
    <w:p w:rsidR="00144E42" w:rsidRPr="000B7AF7" w:rsidRDefault="00144E42" w:rsidP="000B7AF7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2D67E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2D67EC">
        <w:rPr>
          <w:rFonts w:ascii="Arial" w:hAnsi="Arial" w:cs="Arial"/>
          <w:bCs/>
          <w:sz w:val="24"/>
          <w:szCs w:val="24"/>
        </w:rPr>
        <w:t xml:space="preserve"> </w:t>
      </w:r>
    </w:p>
    <w:p w:rsidR="00EB421E" w:rsidRPr="002D67EC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EB421E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7F47B2" w:rsidRPr="008801CF" w:rsidTr="00EB421E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F47B2" w:rsidRPr="008801CF" w:rsidRDefault="007F47B2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F47B2" w:rsidRPr="004860A9" w:rsidRDefault="003621C6" w:rsidP="00F435B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Meningkatnya kualitas dokumen perencanaan dan pelaporan</w:t>
            </w:r>
            <w:r w:rsidR="004860A9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621C6" w:rsidRDefault="003621C6" w:rsidP="003621C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B7AF7">
              <w:rPr>
                <w:rFonts w:ascii="Arial" w:hAnsi="Arial" w:cs="Arial"/>
              </w:rPr>
              <w:t xml:space="preserve">Jumlah dokumen perencanaan yang </w:t>
            </w:r>
            <w:r>
              <w:rPr>
                <w:rFonts w:ascii="Arial" w:hAnsi="Arial" w:cs="Arial"/>
              </w:rPr>
              <w:t>sesuai pedoman</w:t>
            </w:r>
          </w:p>
          <w:p w:rsidR="007F47B2" w:rsidRPr="000B7AF7" w:rsidRDefault="007F47B2" w:rsidP="00F435B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F47B2" w:rsidRPr="004F6BE6" w:rsidRDefault="004860A9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6</w:t>
            </w:r>
            <w:r w:rsidR="007F47B2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="007F47B2"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F47B2" w:rsidRPr="004F6BE6" w:rsidRDefault="004860A9" w:rsidP="00F435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6</w:t>
            </w:r>
            <w:r w:rsidR="007F47B2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="007F47B2"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F47B2" w:rsidRPr="008801CF" w:rsidRDefault="007F47B2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7F47B2" w:rsidRPr="008801CF" w:rsidTr="00441BB9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47B2" w:rsidRPr="008801CF" w:rsidRDefault="007F47B2" w:rsidP="00EB421E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47B2" w:rsidRPr="008801CF" w:rsidRDefault="007F47B2" w:rsidP="00EB421E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B2" w:rsidRPr="00F84C43" w:rsidRDefault="003621C6" w:rsidP="00F435B7">
            <w:pPr>
              <w:pStyle w:val="ListParagraph1"/>
              <w:spacing w:after="0" w:line="240" w:lineRule="auto"/>
              <w:ind w:left="0" w:right="34"/>
              <w:rPr>
                <w:rFonts w:ascii="Arial" w:hAnsi="Arial" w:cs="Arial"/>
                <w:lang w:val="id-ID"/>
              </w:rPr>
            </w:pPr>
            <w:proofErr w:type="spellStart"/>
            <w:r w:rsidRPr="000B7AF7">
              <w:rPr>
                <w:rFonts w:ascii="Arial" w:hAnsi="Arial" w:cs="Arial"/>
              </w:rPr>
              <w:t>Jumlah</w:t>
            </w:r>
            <w:proofErr w:type="spellEnd"/>
            <w:r w:rsidRPr="000B7AF7">
              <w:rPr>
                <w:rFonts w:ascii="Arial" w:hAnsi="Arial" w:cs="Arial"/>
              </w:rPr>
              <w:t xml:space="preserve"> </w:t>
            </w:r>
            <w:proofErr w:type="spellStart"/>
            <w:r w:rsidRPr="000B7AF7">
              <w:rPr>
                <w:rFonts w:ascii="Arial" w:hAnsi="Arial" w:cs="Arial"/>
              </w:rPr>
              <w:t>dokumen</w:t>
            </w:r>
            <w:proofErr w:type="spellEnd"/>
            <w:r w:rsidRPr="000B7AF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pelaporan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pedoman</w:t>
            </w:r>
            <w:proofErr w:type="spellEnd"/>
            <w:r w:rsidR="007F47B2" w:rsidRPr="00441B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B2" w:rsidRPr="004F6BE6" w:rsidRDefault="004860A9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6</w:t>
            </w:r>
            <w:r w:rsidR="007F47B2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="007F47B2"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B2" w:rsidRPr="004F6BE6" w:rsidRDefault="004860A9" w:rsidP="00F435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6</w:t>
            </w:r>
            <w:r w:rsidR="007F47B2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="007F47B2"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B2" w:rsidRPr="008801CF" w:rsidRDefault="007F47B2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144E42" w:rsidRPr="00766820" w:rsidRDefault="00144E42" w:rsidP="004F1148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4860A9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2D67EC">
        <w:rPr>
          <w:rFonts w:ascii="Arial" w:hAnsi="Arial" w:cs="Arial"/>
          <w:sz w:val="24"/>
          <w:szCs w:val="24"/>
        </w:rPr>
        <w:t>Pada indikator sasaran</w:t>
      </w:r>
      <w:r w:rsidR="004860A9">
        <w:rPr>
          <w:rFonts w:ascii="Arial" w:hAnsi="Arial" w:cs="Arial"/>
          <w:sz w:val="24"/>
          <w:szCs w:val="24"/>
          <w:lang w:val="en-US"/>
        </w:rPr>
        <w:t xml:space="preserve"> :</w:t>
      </w:r>
    </w:p>
    <w:p w:rsidR="004860A9" w:rsidRDefault="004860A9" w:rsidP="004860A9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Pr="004860A9">
        <w:rPr>
          <w:rFonts w:ascii="Arial" w:hAnsi="Arial" w:cs="Arial"/>
          <w:sz w:val="24"/>
          <w:szCs w:val="24"/>
          <w:lang w:val="en-US"/>
        </w:rPr>
        <w:t xml:space="preserve">arget </w:t>
      </w:r>
      <w:r w:rsidR="00750411" w:rsidRPr="004860A9">
        <w:rPr>
          <w:rFonts w:ascii="Arial" w:hAnsi="Arial" w:cs="Arial"/>
          <w:sz w:val="24"/>
          <w:szCs w:val="24"/>
        </w:rPr>
        <w:t>jumlah dokumen pe</w:t>
      </w:r>
      <w:r w:rsidRPr="004860A9">
        <w:rPr>
          <w:rFonts w:ascii="Arial" w:hAnsi="Arial" w:cs="Arial"/>
          <w:sz w:val="24"/>
          <w:szCs w:val="24"/>
        </w:rPr>
        <w:t xml:space="preserve">rencanaan yang berkualitas baik 6 </w:t>
      </w:r>
      <w:r w:rsidR="00750411" w:rsidRPr="004860A9">
        <w:rPr>
          <w:rFonts w:ascii="Arial" w:hAnsi="Arial" w:cs="Arial"/>
          <w:sz w:val="24"/>
          <w:szCs w:val="24"/>
        </w:rPr>
        <w:t>dokumen</w:t>
      </w:r>
      <w:r w:rsidRPr="004860A9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860A9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4860A9">
        <w:rPr>
          <w:rFonts w:ascii="Arial" w:hAnsi="Arial" w:cs="Arial"/>
          <w:sz w:val="24"/>
          <w:szCs w:val="24"/>
          <w:lang w:val="en-US"/>
        </w:rPr>
        <w:t xml:space="preserve"> 6</w:t>
      </w:r>
      <w:r w:rsidR="003555E9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126BC" w:rsidRPr="004860A9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Pr="004860A9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4860A9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Pr="004860A9">
        <w:rPr>
          <w:rFonts w:ascii="Arial" w:hAnsi="Arial" w:cs="Arial"/>
          <w:sz w:val="24"/>
          <w:szCs w:val="24"/>
          <w:lang w:val="en-US"/>
        </w:rPr>
        <w:t xml:space="preserve"> 100%)</w:t>
      </w:r>
      <w:r w:rsidR="00FB0A71">
        <w:rPr>
          <w:rFonts w:ascii="Arial" w:hAnsi="Arial" w:cs="Arial"/>
          <w:sz w:val="24"/>
          <w:szCs w:val="24"/>
        </w:rPr>
        <w:t>.</w:t>
      </w:r>
      <w:r w:rsidR="00766820">
        <w:rPr>
          <w:rFonts w:ascii="Arial" w:hAnsi="Arial" w:cs="Arial"/>
          <w:sz w:val="24"/>
          <w:szCs w:val="24"/>
        </w:rPr>
        <w:t xml:space="preserve"> Dokumen tersebut terdiri dari Rencana Kerja (Renja), Rencana Kinerja Tahunan (RKT), RKA, Perjanjian Kinerja, Rencana Aksi dan Indikator Kinerja Individu (IKI).</w:t>
      </w:r>
    </w:p>
    <w:p w:rsidR="004860A9" w:rsidRDefault="004860A9" w:rsidP="004860A9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Tar</w:t>
      </w:r>
      <w:r w:rsidRPr="004860A9">
        <w:rPr>
          <w:rFonts w:ascii="Arial" w:hAnsi="Arial" w:cs="Arial"/>
          <w:sz w:val="24"/>
          <w:szCs w:val="24"/>
          <w:lang w:val="en-US"/>
        </w:rPr>
        <w:t xml:space="preserve">get </w:t>
      </w:r>
      <w:r w:rsidRPr="004860A9">
        <w:rPr>
          <w:rFonts w:ascii="Arial" w:hAnsi="Arial" w:cs="Arial"/>
          <w:sz w:val="24"/>
          <w:szCs w:val="24"/>
        </w:rPr>
        <w:t>jumlah dokumen pe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4860A9">
        <w:rPr>
          <w:rFonts w:ascii="Arial" w:hAnsi="Arial" w:cs="Arial"/>
          <w:sz w:val="24"/>
          <w:szCs w:val="24"/>
        </w:rPr>
        <w:t>yang berkualitas baik 6 dokumen</w:t>
      </w:r>
      <w:r w:rsidRPr="004860A9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860A9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4860A9">
        <w:rPr>
          <w:rFonts w:ascii="Arial" w:hAnsi="Arial" w:cs="Arial"/>
          <w:sz w:val="24"/>
          <w:szCs w:val="24"/>
          <w:lang w:val="en-US"/>
        </w:rPr>
        <w:t xml:space="preserve"> 6</w:t>
      </w:r>
      <w:r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60A9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Pr="004860A9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4860A9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Pr="004860A9">
        <w:rPr>
          <w:rFonts w:ascii="Arial" w:hAnsi="Arial" w:cs="Arial"/>
          <w:sz w:val="24"/>
          <w:szCs w:val="24"/>
          <w:lang w:val="en-US"/>
        </w:rPr>
        <w:t xml:space="preserve"> 100%)</w:t>
      </w:r>
      <w:r w:rsidR="00FB0A71">
        <w:rPr>
          <w:rFonts w:ascii="Arial" w:hAnsi="Arial" w:cs="Arial"/>
          <w:sz w:val="24"/>
          <w:szCs w:val="24"/>
        </w:rPr>
        <w:t>.</w:t>
      </w:r>
      <w:r w:rsidR="00D45EC1">
        <w:rPr>
          <w:rFonts w:ascii="Arial" w:hAnsi="Arial" w:cs="Arial"/>
          <w:sz w:val="24"/>
          <w:szCs w:val="24"/>
        </w:rPr>
        <w:t xml:space="preserve"> Dokumen tersebut terdiri dari Laporan Kinerja Dinas, Laporan Keterangan Pertanggung Jawaban (LKPJ) Bupati, Laporan Kinerja Triwulan I sampai dengan Triwulan IV.</w:t>
      </w:r>
    </w:p>
    <w:p w:rsidR="00750411" w:rsidRPr="004860A9" w:rsidRDefault="00750411" w:rsidP="004860A9">
      <w:pPr>
        <w:pStyle w:val="ListParagraph"/>
        <w:spacing w:after="0" w:line="360" w:lineRule="auto"/>
        <w:ind w:left="1080" w:hanging="371"/>
        <w:jc w:val="both"/>
        <w:rPr>
          <w:rFonts w:ascii="Arial" w:hAnsi="Arial" w:cs="Arial"/>
          <w:sz w:val="24"/>
          <w:szCs w:val="24"/>
        </w:rPr>
      </w:pPr>
      <w:r w:rsidRPr="004860A9">
        <w:rPr>
          <w:rFonts w:ascii="Arial" w:hAnsi="Arial" w:cs="Arial"/>
          <w:sz w:val="24"/>
          <w:szCs w:val="24"/>
        </w:rPr>
        <w:t>Hal ini disebabkan karena:</w:t>
      </w:r>
    </w:p>
    <w:p w:rsidR="004860A9" w:rsidRPr="005610F9" w:rsidRDefault="004860A9" w:rsidP="00FB0A71">
      <w:pPr>
        <w:pStyle w:val="ListParagraph"/>
        <w:numPr>
          <w:ilvl w:val="0"/>
          <w:numId w:val="31"/>
        </w:numPr>
        <w:spacing w:after="0" w:line="312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P</w:t>
      </w:r>
      <w:r w:rsidRPr="00E05E6B">
        <w:rPr>
          <w:rFonts w:ascii="Arial" w:hAnsi="Arial" w:cs="Arial"/>
          <w:sz w:val="24"/>
          <w:szCs w:val="24"/>
        </w:rPr>
        <w:t xml:space="preserve">enyusunan dokumen </w:t>
      </w:r>
      <w:proofErr w:type="spellStart"/>
      <w:r w:rsidRPr="00E05E6B">
        <w:rPr>
          <w:rFonts w:ascii="Arial" w:hAnsi="Arial" w:cs="Arial"/>
          <w:sz w:val="24"/>
          <w:szCs w:val="24"/>
          <w:lang w:val="en-US"/>
        </w:rPr>
        <w:t>perencanaan</w:t>
      </w:r>
      <w:proofErr w:type="spellEnd"/>
      <w:r w:rsidRPr="00E05E6B">
        <w:rPr>
          <w:rFonts w:ascii="Arial" w:hAnsi="Arial" w:cs="Arial"/>
          <w:sz w:val="24"/>
          <w:szCs w:val="24"/>
          <w:lang w:val="en-US"/>
        </w:rPr>
        <w:t xml:space="preserve"> </w:t>
      </w:r>
      <w:r w:rsidR="001E6BB6">
        <w:rPr>
          <w:rFonts w:ascii="Arial" w:hAnsi="Arial" w:cs="Arial"/>
          <w:sz w:val="24"/>
          <w:szCs w:val="24"/>
        </w:rPr>
        <w:t>disusun</w:t>
      </w:r>
      <w:r w:rsidRPr="00E05E6B">
        <w:rPr>
          <w:rFonts w:ascii="Arial" w:hAnsi="Arial" w:cs="Arial"/>
          <w:sz w:val="24"/>
          <w:szCs w:val="24"/>
        </w:rPr>
        <w:t xml:space="preserve"> dengan memperhatikan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Peraturan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Menteri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Dalam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Negeri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Nomor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86 </w:t>
      </w:r>
      <w:r w:rsidR="001E6BB6">
        <w:rPr>
          <w:rFonts w:ascii="Arial" w:hAnsi="Arial" w:cs="Arial"/>
          <w:sz w:val="24"/>
          <w:szCs w:val="24"/>
        </w:rPr>
        <w:t>T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ahun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2017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tentang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Tata Cara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Perencanaan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Pengendalian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dan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Evaluasi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Pembangunan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Daerah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, Tata Cara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Evaluasi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Rancangan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Peraturan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Daerah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tentang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Rencana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Pembangunan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Jangka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Panjang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Daerah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dan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Rencana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Pembangunan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Jangka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Menengah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Daerah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serta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Tata Cara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Perubahan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Rencana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Pembangunan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Jangka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Panjang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Daerah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dan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Rencana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Pembangunan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Jangka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Menengah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Daerah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dan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Rencana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Kerja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Pemerintah</w:t>
      </w:r>
      <w:proofErr w:type="spellEnd"/>
      <w:r w:rsidRPr="005610F9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s-ES_tradnl"/>
        </w:rPr>
        <w:t>Daerah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>;</w:t>
      </w:r>
    </w:p>
    <w:p w:rsidR="004860A9" w:rsidRDefault="004860A9" w:rsidP="00FB0A71">
      <w:pPr>
        <w:pStyle w:val="ListParagraph"/>
        <w:numPr>
          <w:ilvl w:val="0"/>
          <w:numId w:val="31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lastRenderedPageBreak/>
        <w:t>Koordinasi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Perencanan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Evaluasi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Pelaporan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Pr="005610F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610F9">
        <w:rPr>
          <w:rFonts w:ascii="Arial" w:hAnsi="Arial" w:cs="Arial"/>
          <w:sz w:val="24"/>
          <w:szCs w:val="24"/>
          <w:lang w:val="en-US"/>
        </w:rPr>
        <w:t>Bidang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D67EC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3E3102"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 w:rsidR="003E310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E3102">
        <w:rPr>
          <w:rFonts w:ascii="Arial" w:hAnsi="Arial" w:cs="Arial"/>
          <w:sz w:val="24"/>
          <w:szCs w:val="24"/>
          <w:lang w:val="en-US"/>
        </w:rPr>
        <w:t>pelaporan</w:t>
      </w:r>
      <w:proofErr w:type="spellEnd"/>
      <w:r w:rsidR="003E310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E3102"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 w:rsidR="003E3102">
        <w:rPr>
          <w:rFonts w:ascii="Arial" w:hAnsi="Arial" w:cs="Arial"/>
          <w:sz w:val="24"/>
          <w:szCs w:val="24"/>
          <w:lang w:val="en-US"/>
        </w:rPr>
        <w:t xml:space="preserve"> </w:t>
      </w:r>
      <w:r w:rsidR="00305189">
        <w:rPr>
          <w:rFonts w:ascii="Arial" w:hAnsi="Arial" w:cs="Arial"/>
          <w:sz w:val="24"/>
          <w:szCs w:val="24"/>
        </w:rPr>
        <w:t>dan rapat</w:t>
      </w:r>
      <w:r w:rsidR="00FB0A71">
        <w:rPr>
          <w:rFonts w:ascii="Arial" w:hAnsi="Arial" w:cs="Arial"/>
          <w:sz w:val="24"/>
          <w:szCs w:val="24"/>
        </w:rPr>
        <w:t>-</w:t>
      </w:r>
      <w:r w:rsidR="00305189">
        <w:rPr>
          <w:rFonts w:ascii="Arial" w:hAnsi="Arial" w:cs="Arial"/>
          <w:sz w:val="24"/>
          <w:szCs w:val="24"/>
        </w:rPr>
        <w:t>rapat Internal untuk mengevaluasi</w:t>
      </w:r>
      <w:r w:rsidRPr="002D67EC">
        <w:rPr>
          <w:rFonts w:ascii="Arial" w:hAnsi="Arial" w:cs="Arial"/>
          <w:sz w:val="24"/>
          <w:szCs w:val="24"/>
        </w:rPr>
        <w:t xml:space="preserve"> capaian setiap indikator kinerja,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2D67EC">
        <w:rPr>
          <w:rFonts w:ascii="Arial" w:hAnsi="Arial" w:cs="Arial"/>
          <w:sz w:val="24"/>
          <w:szCs w:val="24"/>
        </w:rPr>
        <w:t xml:space="preserve"> Indikator Kinerja Utama</w:t>
      </w:r>
      <w:r w:rsidR="00305189">
        <w:rPr>
          <w:rFonts w:ascii="Arial" w:hAnsi="Arial" w:cs="Arial"/>
          <w:sz w:val="24"/>
          <w:szCs w:val="24"/>
        </w:rPr>
        <w:t>, Indikator Program dan Indikator Kegiatan.</w:t>
      </w:r>
    </w:p>
    <w:p w:rsidR="00144E42" w:rsidRPr="00766820" w:rsidRDefault="00144E42" w:rsidP="00144E42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AC74FD" w:rsidRPr="002D67E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Rencana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2D67E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2D67EC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  <w:r w:rsidRPr="002D67EC">
        <w:rPr>
          <w:rFonts w:ascii="Arial" w:hAnsi="Arial" w:cs="Arial"/>
          <w:bCs/>
          <w:sz w:val="24"/>
          <w:szCs w:val="24"/>
        </w:rPr>
        <w:t>;</w:t>
      </w:r>
    </w:p>
    <w:p w:rsidR="00750411" w:rsidRPr="002D67EC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D67EC">
        <w:rPr>
          <w:rFonts w:ascii="Arial" w:hAnsi="Arial" w:cs="Arial"/>
          <w:sz w:val="24"/>
          <w:szCs w:val="24"/>
        </w:rPr>
        <w:t>Rencana tindak lanjut untuk meminimalisir kegagalan dan sebagai langkah peningkatan capaian kinerja pada tahun yang akan datang, adalah :</w:t>
      </w:r>
    </w:p>
    <w:p w:rsidR="00144E42" w:rsidRPr="00144E42" w:rsidRDefault="00E126BC" w:rsidP="00144E42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Mengadakan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>
        <w:rPr>
          <w:rFonts w:ascii="Arial" w:hAnsi="Arial" w:cs="Arial"/>
          <w:sz w:val="24"/>
          <w:szCs w:val="24"/>
          <w:lang w:val="en-US"/>
        </w:rPr>
        <w:t>Sosialisasi</w:t>
      </w:r>
      <w:proofErr w:type="spellEnd"/>
      <w:r w:rsidR="004860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4860A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>
        <w:rPr>
          <w:rFonts w:ascii="Arial" w:hAnsi="Arial" w:cs="Arial"/>
          <w:sz w:val="24"/>
          <w:szCs w:val="24"/>
          <w:lang w:val="en-US"/>
        </w:rPr>
        <w:t>Evaluasi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4860A9">
        <w:rPr>
          <w:rFonts w:ascii="Arial" w:hAnsi="Arial" w:cs="Arial"/>
          <w:sz w:val="24"/>
          <w:szCs w:val="24"/>
          <w:lang w:val="en-US"/>
        </w:rPr>
        <w:t>SAKIP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Pemberdayaan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Malang;</w:t>
      </w:r>
    </w:p>
    <w:p w:rsidR="002D67EC" w:rsidRPr="00144E42" w:rsidRDefault="002D67EC" w:rsidP="00144E42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bCs/>
          <w:lang w:val="en-US"/>
        </w:rPr>
      </w:pPr>
      <w:proofErr w:type="spellStart"/>
      <w:r w:rsidRPr="00144E42">
        <w:rPr>
          <w:rFonts w:ascii="Arial" w:hAnsi="Arial" w:cs="Arial"/>
          <w:sz w:val="24"/>
          <w:szCs w:val="24"/>
          <w:lang w:val="en-US"/>
        </w:rPr>
        <w:t>Meningkatkan</w:t>
      </w:r>
      <w:proofErr w:type="spellEnd"/>
      <w:r w:rsidRPr="00144E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Sub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Perencanan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Evaluasi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Pelaporan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Bidang</w:t>
      </w:r>
      <w:proofErr w:type="spellEnd"/>
      <w:r w:rsidR="004860A9" w:rsidRPr="00144E42">
        <w:rPr>
          <w:rFonts w:ascii="Arial" w:hAnsi="Arial" w:cs="Arial"/>
          <w:sz w:val="24"/>
          <w:szCs w:val="24"/>
          <w:lang w:val="en-US"/>
        </w:rPr>
        <w:t xml:space="preserve"> </w:t>
      </w:r>
      <w:r w:rsidR="004860A9" w:rsidRPr="00144E42">
        <w:rPr>
          <w:rFonts w:ascii="Arial" w:hAnsi="Arial" w:cs="Arial"/>
          <w:sz w:val="24"/>
          <w:szCs w:val="24"/>
        </w:rPr>
        <w:t>untuk</w:t>
      </w:r>
      <w:r w:rsidR="00144E42" w:rsidRPr="00144E42">
        <w:rPr>
          <w:rFonts w:ascii="Arial" w:hAnsi="Arial" w:cs="Arial"/>
          <w:sz w:val="24"/>
          <w:szCs w:val="24"/>
        </w:rPr>
        <w:t xml:space="preserve"> menyusun Pelaporan Kinerja dan</w:t>
      </w:r>
      <w:r w:rsidR="00FB0A71">
        <w:rPr>
          <w:rFonts w:ascii="Arial" w:hAnsi="Arial" w:cs="Arial"/>
          <w:sz w:val="24"/>
          <w:szCs w:val="24"/>
        </w:rPr>
        <w:t xml:space="preserve"> mengadakan rapat-rapat internal</w:t>
      </w:r>
      <w:r w:rsidR="00144E42" w:rsidRPr="00144E42">
        <w:rPr>
          <w:rFonts w:ascii="Arial" w:hAnsi="Arial" w:cs="Arial"/>
          <w:sz w:val="24"/>
          <w:szCs w:val="24"/>
        </w:rPr>
        <w:t xml:space="preserve"> untuk mengevaluasi </w:t>
      </w:r>
      <w:r w:rsidR="004860A9" w:rsidRPr="00144E42">
        <w:rPr>
          <w:rFonts w:ascii="Arial" w:hAnsi="Arial" w:cs="Arial"/>
          <w:sz w:val="24"/>
          <w:szCs w:val="24"/>
        </w:rPr>
        <w:t xml:space="preserve">capaian setiap indikator kinerja, </w:t>
      </w:r>
      <w:proofErr w:type="spellStart"/>
      <w:r w:rsidR="004860A9" w:rsidRPr="00144E42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="004860A9" w:rsidRPr="00144E42">
        <w:rPr>
          <w:rFonts w:ascii="Arial" w:hAnsi="Arial" w:cs="Arial"/>
          <w:sz w:val="24"/>
          <w:szCs w:val="24"/>
        </w:rPr>
        <w:t xml:space="preserve"> Indikator Kinerja Utama, </w:t>
      </w:r>
      <w:r w:rsidR="00144E42" w:rsidRPr="00144E42">
        <w:rPr>
          <w:rFonts w:ascii="Arial" w:hAnsi="Arial" w:cs="Arial"/>
          <w:sz w:val="24"/>
          <w:szCs w:val="24"/>
        </w:rPr>
        <w:t>Indikator Program dan Indikator Kegiatan.</w:t>
      </w:r>
    </w:p>
    <w:p w:rsidR="001522FB" w:rsidRPr="004860A9" w:rsidRDefault="001522FB" w:rsidP="004F1148">
      <w:pPr>
        <w:spacing w:after="0" w:line="360" w:lineRule="auto"/>
        <w:ind w:left="720"/>
        <w:rPr>
          <w:rFonts w:ascii="Arial" w:hAnsi="Arial" w:cs="Arial"/>
          <w:bCs/>
          <w:sz w:val="10"/>
          <w:szCs w:val="10"/>
          <w:lang w:val="en-US"/>
        </w:rPr>
      </w:pPr>
    </w:p>
    <w:p w:rsidR="008801CF" w:rsidRPr="00E126B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126BC">
        <w:rPr>
          <w:rFonts w:ascii="Arial" w:hAnsi="Arial" w:cs="Arial"/>
          <w:bCs/>
          <w:sz w:val="24"/>
          <w:szCs w:val="24"/>
          <w:lang w:val="en-US"/>
        </w:rPr>
        <w:t>Tanggapan</w:t>
      </w:r>
      <w:proofErr w:type="spellEnd"/>
      <w:r w:rsidRPr="00E126BC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E126B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E126B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126BC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126BC" w:rsidRDefault="00E126BC" w:rsidP="00E126B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126BC" w:rsidRDefault="00E126BC" w:rsidP="00E126B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4860A9" w:rsidRDefault="004860A9" w:rsidP="004860A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126BC" w:rsidRDefault="00E126BC" w:rsidP="00E126B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126BC" w:rsidRDefault="00E126BC" w:rsidP="00E126B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126BC" w:rsidRDefault="00E126BC" w:rsidP="00A753A4">
      <w:pPr>
        <w:spacing w:after="0" w:line="360" w:lineRule="auto"/>
        <w:ind w:left="567"/>
        <w:jc w:val="both"/>
        <w:rPr>
          <w:rFonts w:ascii="Arial" w:eastAsia="Calibri" w:hAnsi="Arial" w:cs="Arial"/>
        </w:rPr>
      </w:pPr>
    </w:p>
    <w:p w:rsidR="0085062A" w:rsidRDefault="00334EE5" w:rsidP="00144E42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126BC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E126BC">
        <w:rPr>
          <w:rFonts w:ascii="Arial" w:eastAsia="Calibri" w:hAnsi="Arial" w:cs="Arial"/>
          <w:sz w:val="24"/>
          <w:szCs w:val="24"/>
        </w:rPr>
        <w:t xml:space="preserve">capaian kinerja khususnya </w:t>
      </w:r>
      <w:r w:rsidR="00E126BC" w:rsidRPr="00E126BC">
        <w:rPr>
          <w:rFonts w:ascii="Arial" w:hAnsi="Arial" w:cs="Arial"/>
          <w:sz w:val="24"/>
          <w:szCs w:val="24"/>
          <w:lang w:val="en-US"/>
        </w:rPr>
        <w:t xml:space="preserve">Sub </w:t>
      </w:r>
      <w:proofErr w:type="spellStart"/>
      <w:r w:rsidR="00E126BC" w:rsidRPr="00E126BC">
        <w:rPr>
          <w:rFonts w:ascii="Arial" w:hAnsi="Arial" w:cs="Arial"/>
          <w:sz w:val="24"/>
          <w:szCs w:val="24"/>
          <w:lang w:val="en-US"/>
        </w:rPr>
        <w:t>Bagian</w:t>
      </w:r>
      <w:proofErr w:type="spellEnd"/>
      <w:r w:rsidR="00E126BC" w:rsidRPr="00E126B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126BC" w:rsidRPr="00E126BC">
        <w:rPr>
          <w:rFonts w:ascii="Arial" w:hAnsi="Arial" w:cs="Arial"/>
          <w:sz w:val="24"/>
          <w:szCs w:val="24"/>
          <w:lang w:val="en-US"/>
        </w:rPr>
        <w:t>Perencanaan</w:t>
      </w:r>
      <w:proofErr w:type="spellEnd"/>
      <w:r w:rsidR="00E126BC" w:rsidRPr="00E126B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126BC" w:rsidRPr="00E126BC">
        <w:rPr>
          <w:rFonts w:ascii="Arial" w:hAnsi="Arial" w:cs="Arial"/>
          <w:sz w:val="24"/>
          <w:szCs w:val="24"/>
          <w:lang w:val="en-US"/>
        </w:rPr>
        <w:t>Evaluasi</w:t>
      </w:r>
      <w:proofErr w:type="spellEnd"/>
      <w:r w:rsidR="00144E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126BC" w:rsidRPr="00E126BC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E126BC" w:rsidRPr="00E126B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126BC" w:rsidRPr="00E126BC">
        <w:rPr>
          <w:rFonts w:ascii="Arial" w:hAnsi="Arial" w:cs="Arial"/>
          <w:sz w:val="24"/>
          <w:szCs w:val="24"/>
          <w:lang w:val="en-US"/>
        </w:rPr>
        <w:t>Pelaporan</w:t>
      </w:r>
      <w:proofErr w:type="spellEnd"/>
      <w:r w:rsidR="00E126BC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126B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126BC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E126BC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E126BC">
        <w:rPr>
          <w:rFonts w:ascii="Arial" w:eastAsia="Calibri" w:hAnsi="Arial" w:cs="Arial"/>
          <w:color w:val="000000"/>
          <w:sz w:val="24"/>
          <w:szCs w:val="24"/>
        </w:rPr>
        <w:t>bagi peningkatan kinerja di tahun mendatang. Terima Kasih.</w:t>
      </w:r>
    </w:p>
    <w:p w:rsidR="00144E42" w:rsidRPr="00144E42" w:rsidRDefault="00144E42" w:rsidP="00144E42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12"/>
          <w:szCs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25"/>
      </w:tblGrid>
      <w:tr w:rsidR="00334EE5" w:rsidRPr="00E126BC" w:rsidTr="003621C6">
        <w:trPr>
          <w:jc w:val="center"/>
        </w:trPr>
        <w:tc>
          <w:tcPr>
            <w:tcW w:w="5353" w:type="dxa"/>
          </w:tcPr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</w:p>
          <w:p w:rsidR="00334EE5" w:rsidRPr="00E126BC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26BC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334EE5" w:rsidRPr="00E126BC" w:rsidRDefault="00F72681" w:rsidP="00CC0E6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E126BC">
              <w:rPr>
                <w:rFonts w:ascii="Arial" w:hAnsi="Arial" w:cs="Arial"/>
                <w:sz w:val="24"/>
                <w:szCs w:val="24"/>
                <w:lang w:val="en-US"/>
              </w:rPr>
              <w:t>Sekretaris</w:t>
            </w:r>
            <w:proofErr w:type="spellEnd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>Pemberdayaan</w:t>
            </w:r>
            <w:proofErr w:type="spellEnd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>Masyarakat</w:t>
            </w:r>
            <w:proofErr w:type="spellEnd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:rsidR="00334EE5" w:rsidRPr="00E126BC" w:rsidRDefault="00E126BC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>an</w:t>
            </w:r>
            <w:proofErr w:type="spellEnd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  <w:r w:rsidR="00EA7B0E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334EE5" w:rsidRPr="00E126BC">
              <w:rPr>
                <w:rFonts w:ascii="Arial" w:hAnsi="Arial" w:cs="Arial"/>
                <w:sz w:val="24"/>
                <w:szCs w:val="24"/>
              </w:rPr>
              <w:t>Kabupaten Malang</w:t>
            </w: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A7B0E" w:rsidRPr="00E126BC" w:rsidRDefault="003621C6" w:rsidP="00EA7B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STEFANUS LODEWYK HORSAYR,S.IP, M.H</w:t>
            </w:r>
          </w:p>
          <w:p w:rsidR="00EA7B0E" w:rsidRPr="00E126BC" w:rsidRDefault="00EA7B0E" w:rsidP="00EA7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26BC">
              <w:rPr>
                <w:rFonts w:ascii="Arial" w:hAnsi="Arial" w:cs="Arial"/>
                <w:sz w:val="24"/>
                <w:szCs w:val="24"/>
              </w:rPr>
              <w:t xml:space="preserve">Pembina </w:t>
            </w:r>
          </w:p>
          <w:p w:rsidR="00EA7B0E" w:rsidRPr="00E126BC" w:rsidRDefault="00EA7B0E" w:rsidP="00EA7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26BC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3621C6">
              <w:rPr>
                <w:rFonts w:ascii="Arial" w:hAnsi="Arial" w:cs="Arial"/>
                <w:sz w:val="24"/>
                <w:szCs w:val="24"/>
              </w:rPr>
              <w:t>19690630 199102 1 001</w:t>
            </w: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225" w:type="dxa"/>
          </w:tcPr>
          <w:p w:rsidR="00334EE5" w:rsidRPr="003621C6" w:rsidRDefault="00E126BC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Malang</w:t>
            </w:r>
            <w:r w:rsidR="00334EE5" w:rsidRPr="00E126BC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3621C6">
              <w:rPr>
                <w:rFonts w:ascii="Arial" w:hAnsi="Arial" w:cs="Arial"/>
                <w:sz w:val="24"/>
                <w:szCs w:val="24"/>
              </w:rPr>
              <w:t>Januari 2020</w:t>
            </w: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126BC" w:rsidRDefault="00E126BC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F72681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Sub </w:t>
            </w:r>
            <w:proofErr w:type="spellStart"/>
            <w:r w:rsidR="00F72681" w:rsidRPr="00E126BC">
              <w:rPr>
                <w:rFonts w:ascii="Arial" w:hAnsi="Arial" w:cs="Arial"/>
                <w:sz w:val="24"/>
                <w:szCs w:val="24"/>
                <w:lang w:val="en-US"/>
              </w:rPr>
              <w:t>Bagian</w:t>
            </w:r>
            <w:proofErr w:type="spellEnd"/>
            <w:r w:rsidR="00F72681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2421B" w:rsidRPr="00E126BC">
              <w:rPr>
                <w:rFonts w:ascii="Arial" w:hAnsi="Arial" w:cs="Arial"/>
                <w:sz w:val="24"/>
                <w:szCs w:val="24"/>
                <w:lang w:val="en-US"/>
              </w:rPr>
              <w:t>Perencanaan</w:t>
            </w:r>
            <w:proofErr w:type="spellEnd"/>
            <w:r w:rsidR="0042421B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2421B" w:rsidRPr="00E126BC">
              <w:rPr>
                <w:rFonts w:ascii="Arial" w:hAnsi="Arial" w:cs="Arial"/>
                <w:sz w:val="24"/>
                <w:szCs w:val="24"/>
                <w:lang w:val="en-US"/>
              </w:rPr>
              <w:t>Evaluasi</w:t>
            </w:r>
            <w:proofErr w:type="spellEnd"/>
            <w:r w:rsidR="0042421B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42421B" w:rsidRPr="00E126BC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42421B" w:rsidRPr="00E126B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2421B" w:rsidRPr="00E126BC">
              <w:rPr>
                <w:rFonts w:ascii="Arial" w:hAnsi="Arial" w:cs="Arial"/>
                <w:sz w:val="24"/>
                <w:szCs w:val="24"/>
                <w:lang w:val="en-US"/>
              </w:rPr>
              <w:t>Pelaporan</w:t>
            </w:r>
            <w:proofErr w:type="spellEnd"/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1522FB" w:rsidRPr="00E126BC" w:rsidRDefault="001522FB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72681" w:rsidRPr="00E126BC" w:rsidRDefault="00F72681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2421B" w:rsidRPr="00E126BC" w:rsidRDefault="0042421B" w:rsidP="0042421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126BC">
              <w:rPr>
                <w:rFonts w:ascii="Arial" w:hAnsi="Arial" w:cs="Arial"/>
                <w:b/>
                <w:sz w:val="24"/>
                <w:szCs w:val="24"/>
                <w:u w:val="single"/>
              </w:rPr>
              <w:t>FAUJI, SAP</w:t>
            </w:r>
          </w:p>
          <w:p w:rsidR="0042421B" w:rsidRPr="00E126BC" w:rsidRDefault="0042421B" w:rsidP="00424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26BC">
              <w:rPr>
                <w:rFonts w:ascii="Arial" w:hAnsi="Arial" w:cs="Arial"/>
                <w:sz w:val="24"/>
                <w:szCs w:val="24"/>
              </w:rPr>
              <w:t xml:space="preserve">Penata </w:t>
            </w:r>
            <w:r w:rsidR="00FB0A71">
              <w:rPr>
                <w:rFonts w:ascii="Arial" w:hAnsi="Arial" w:cs="Arial"/>
                <w:sz w:val="24"/>
                <w:szCs w:val="24"/>
              </w:rPr>
              <w:t>Tk.I</w:t>
            </w:r>
          </w:p>
          <w:p w:rsidR="0042421B" w:rsidRPr="00E126BC" w:rsidRDefault="0042421B" w:rsidP="00424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26BC">
              <w:rPr>
                <w:rFonts w:ascii="Arial" w:hAnsi="Arial" w:cs="Arial"/>
                <w:sz w:val="24"/>
                <w:szCs w:val="24"/>
              </w:rPr>
              <w:t>NIP. 19680417 199202 1 004</w:t>
            </w:r>
          </w:p>
          <w:p w:rsidR="00334EE5" w:rsidRPr="00E126B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bookmarkEnd w:id="0"/>
    </w:tbl>
    <w:p w:rsidR="003F54C8" w:rsidRDefault="003F54C8" w:rsidP="00590A5D">
      <w:pPr>
        <w:rPr>
          <w:rFonts w:ascii="Arial" w:hAnsi="Arial" w:cs="Arial"/>
        </w:rPr>
      </w:pPr>
    </w:p>
    <w:sectPr w:rsidR="003F54C8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463E04"/>
    <w:multiLevelType w:val="hybridMultilevel"/>
    <w:tmpl w:val="E560243E"/>
    <w:lvl w:ilvl="0" w:tplc="D79631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C4387C"/>
    <w:multiLevelType w:val="hybridMultilevel"/>
    <w:tmpl w:val="E57437C8"/>
    <w:lvl w:ilvl="0" w:tplc="D79AA7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D513990"/>
    <w:multiLevelType w:val="hybridMultilevel"/>
    <w:tmpl w:val="3BAA59B4"/>
    <w:lvl w:ilvl="0" w:tplc="ECB6C69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FC4BEB"/>
    <w:multiLevelType w:val="hybridMultilevel"/>
    <w:tmpl w:val="3194606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D796311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5"/>
  </w:num>
  <w:num w:numId="6">
    <w:abstractNumId w:val="14"/>
  </w:num>
  <w:num w:numId="7">
    <w:abstractNumId w:val="25"/>
  </w:num>
  <w:num w:numId="8">
    <w:abstractNumId w:val="1"/>
  </w:num>
  <w:num w:numId="9">
    <w:abstractNumId w:val="2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8"/>
  </w:num>
  <w:num w:numId="17">
    <w:abstractNumId w:val="6"/>
  </w:num>
  <w:num w:numId="18">
    <w:abstractNumId w:val="10"/>
  </w:num>
  <w:num w:numId="19">
    <w:abstractNumId w:val="13"/>
  </w:num>
  <w:num w:numId="20">
    <w:abstractNumId w:val="7"/>
  </w:num>
  <w:num w:numId="21">
    <w:abstractNumId w:val="29"/>
  </w:num>
  <w:num w:numId="22">
    <w:abstractNumId w:val="16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7"/>
  </w:num>
  <w:num w:numId="28">
    <w:abstractNumId w:val="26"/>
  </w:num>
  <w:num w:numId="29">
    <w:abstractNumId w:val="23"/>
  </w:num>
  <w:num w:numId="30">
    <w:abstractNumId w:val="19"/>
  </w:num>
  <w:num w:numId="31">
    <w:abstractNumId w:val="2"/>
  </w:num>
  <w:num w:numId="32">
    <w:abstractNumId w:val="15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A1C47"/>
    <w:rsid w:val="000B7AF7"/>
    <w:rsid w:val="00144E42"/>
    <w:rsid w:val="001522FB"/>
    <w:rsid w:val="001A27E9"/>
    <w:rsid w:val="001E6BB6"/>
    <w:rsid w:val="002176BC"/>
    <w:rsid w:val="002260D9"/>
    <w:rsid w:val="002871B9"/>
    <w:rsid w:val="002C5FE9"/>
    <w:rsid w:val="002D67EC"/>
    <w:rsid w:val="00305189"/>
    <w:rsid w:val="0031152C"/>
    <w:rsid w:val="00316D50"/>
    <w:rsid w:val="0033075C"/>
    <w:rsid w:val="00330D34"/>
    <w:rsid w:val="00334EE5"/>
    <w:rsid w:val="003357B2"/>
    <w:rsid w:val="003555E9"/>
    <w:rsid w:val="003621C6"/>
    <w:rsid w:val="003E3102"/>
    <w:rsid w:val="003F54C8"/>
    <w:rsid w:val="004226C4"/>
    <w:rsid w:val="0042285A"/>
    <w:rsid w:val="0042421B"/>
    <w:rsid w:val="00441BB9"/>
    <w:rsid w:val="0047211E"/>
    <w:rsid w:val="004860A9"/>
    <w:rsid w:val="004E7284"/>
    <w:rsid w:val="004F1148"/>
    <w:rsid w:val="004F6BE6"/>
    <w:rsid w:val="005623C1"/>
    <w:rsid w:val="00590A5D"/>
    <w:rsid w:val="005A5DBE"/>
    <w:rsid w:val="005B3ED2"/>
    <w:rsid w:val="005F7873"/>
    <w:rsid w:val="00637DE9"/>
    <w:rsid w:val="00667274"/>
    <w:rsid w:val="00703133"/>
    <w:rsid w:val="00750411"/>
    <w:rsid w:val="00766820"/>
    <w:rsid w:val="007F47B2"/>
    <w:rsid w:val="0085062A"/>
    <w:rsid w:val="008801CF"/>
    <w:rsid w:val="00893E81"/>
    <w:rsid w:val="008E191E"/>
    <w:rsid w:val="00931AE7"/>
    <w:rsid w:val="009705BC"/>
    <w:rsid w:val="00987106"/>
    <w:rsid w:val="009D0F72"/>
    <w:rsid w:val="009D5F6E"/>
    <w:rsid w:val="009D7B5D"/>
    <w:rsid w:val="00A753A4"/>
    <w:rsid w:val="00AA5109"/>
    <w:rsid w:val="00AC74FD"/>
    <w:rsid w:val="00B37E8A"/>
    <w:rsid w:val="00B9108F"/>
    <w:rsid w:val="00B97695"/>
    <w:rsid w:val="00BC39BD"/>
    <w:rsid w:val="00BE509B"/>
    <w:rsid w:val="00C70AC6"/>
    <w:rsid w:val="00C92CB4"/>
    <w:rsid w:val="00CA35B4"/>
    <w:rsid w:val="00CB2FAF"/>
    <w:rsid w:val="00CC0E6D"/>
    <w:rsid w:val="00D21A23"/>
    <w:rsid w:val="00D45EC1"/>
    <w:rsid w:val="00D510C1"/>
    <w:rsid w:val="00D57110"/>
    <w:rsid w:val="00D77ADC"/>
    <w:rsid w:val="00DE3D12"/>
    <w:rsid w:val="00E1014E"/>
    <w:rsid w:val="00E126BC"/>
    <w:rsid w:val="00EA7B0E"/>
    <w:rsid w:val="00EB421E"/>
    <w:rsid w:val="00EB750B"/>
    <w:rsid w:val="00ED36EC"/>
    <w:rsid w:val="00F577D4"/>
    <w:rsid w:val="00F72681"/>
    <w:rsid w:val="00F84C43"/>
    <w:rsid w:val="00FB0A71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74CA-C587-4DB1-9CA4-B8ADCDB1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Samsung</cp:lastModifiedBy>
  <cp:revision>5</cp:revision>
  <cp:lastPrinted>2020-02-27T05:39:00Z</cp:lastPrinted>
  <dcterms:created xsi:type="dcterms:W3CDTF">2020-02-27T05:43:00Z</dcterms:created>
  <dcterms:modified xsi:type="dcterms:W3CDTF">2020-03-30T04:02:00Z</dcterms:modified>
</cp:coreProperties>
</file>