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4B30A1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 xml:space="preserve">PENGELOLA BAHAN </w:t>
      </w:r>
      <w:r w:rsidR="00EF2EC6">
        <w:rPr>
          <w:rFonts w:ascii="Arial" w:hAnsi="Arial" w:cs="Arial"/>
          <w:sz w:val="24"/>
        </w:rPr>
        <w:t xml:space="preserve">PERENCANAAN 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4B30A1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 xml:space="preserve">Pengelola Bahan </w:t>
      </w:r>
      <w:proofErr w:type="spellStart"/>
      <w:r w:rsidR="00EF2EC6">
        <w:rPr>
          <w:rFonts w:ascii="Arial" w:hAnsi="Arial" w:cs="Arial"/>
          <w:sz w:val="24"/>
        </w:rPr>
        <w:t>Perencanaan</w:t>
      </w:r>
      <w:proofErr w:type="spellEnd"/>
      <w:r w:rsidR="00EF2EC6">
        <w:rPr>
          <w:rFonts w:ascii="Arial" w:hAnsi="Arial" w:cs="Arial"/>
          <w:sz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Dokumen Perencanaan (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Renstra, Renja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)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F2EC6" w:rsidRDefault="00F7325E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 Dokumen Perencanaan (Perjakin, IKI dan Renaksi);</w:t>
      </w:r>
    </w:p>
    <w:p w:rsidR="00EF2EC6" w:rsidRPr="00EF2EC6" w:rsidRDefault="00EF2EC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Mengintput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 xml:space="preserve">data </w:t>
      </w:r>
      <w:r w:rsidRPr="00EF2EC6">
        <w:rPr>
          <w:rFonts w:ascii="Arial" w:eastAsia="Times New Roman" w:hAnsi="Arial" w:cs="Arial"/>
          <w:sz w:val="24"/>
          <w:szCs w:val="24"/>
        </w:rPr>
        <w:t xml:space="preserve">E Planning, E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Musrenbang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EF2EC6" w:rsidP="00EF2EC6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326EEE" w:rsidRPr="00E041C6" w:rsidRDefault="00326EEE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781830">
        <w:rPr>
          <w:rFonts w:ascii="Arial" w:hAnsi="Arial" w:cs="Arial"/>
          <w:bCs/>
          <w:sz w:val="24"/>
          <w:szCs w:val="24"/>
          <w:lang w:val="id-ID"/>
        </w:rPr>
        <w:t>I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A67470" w:rsidRDefault="00FB1890" w:rsidP="00FB1890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  <w:lang w:val="id-ID"/>
              </w:rPr>
            </w:pPr>
            <w:proofErr w:type="spellStart"/>
            <w:r w:rsidRPr="008801CF">
              <w:rPr>
                <w:rFonts w:ascii="Arial" w:hAnsi="Arial" w:cs="Arial"/>
              </w:rPr>
              <w:t>Meningkatnya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kualitas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dokumen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pelaporan</w:t>
            </w:r>
            <w:proofErr w:type="spellEnd"/>
            <w:r w:rsidR="00A67470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4B30A1" w:rsidRDefault="00FB1890" w:rsidP="004B30A1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d-ID"/>
              </w:rPr>
            </w:pPr>
            <w:proofErr w:type="spellStart"/>
            <w:r w:rsidRPr="008801CF">
              <w:rPr>
                <w:rFonts w:ascii="Arial" w:hAnsi="Arial" w:cs="Arial"/>
              </w:rPr>
              <w:t>Jumlah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r w:rsidR="004B30A1">
              <w:rPr>
                <w:rFonts w:ascii="Arial" w:hAnsi="Arial" w:cs="Arial"/>
                <w:lang w:val="id-ID"/>
              </w:rPr>
              <w:t xml:space="preserve">notulen rapat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r w:rsidR="004B30A1">
              <w:rPr>
                <w:rFonts w:ascii="Arial" w:hAnsi="Arial" w:cs="Arial"/>
                <w:lang w:val="id-ID"/>
              </w:rPr>
              <w:t>dan pelaporan kinerja.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B30A1" w:rsidRDefault="00EA7385" w:rsidP="004B30A1">
            <w:pPr>
              <w:spacing w:after="0" w:line="300" w:lineRule="auto"/>
              <w:jc w:val="center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  <w:r w:rsidR="00FB1890" w:rsidRPr="008A093A">
              <w:rPr>
                <w:rFonts w:ascii="Arial" w:hAnsi="Arial" w:cs="Arial"/>
              </w:rPr>
              <w:t xml:space="preserve"> </w:t>
            </w:r>
            <w:r w:rsidR="00FB1890">
              <w:rPr>
                <w:rFonts w:ascii="Arial" w:hAnsi="Arial" w:cs="Arial"/>
              </w:rPr>
              <w:t xml:space="preserve"> </w:t>
            </w:r>
            <w:r w:rsidR="004B30A1">
              <w:rPr>
                <w:rFonts w:ascii="Arial" w:hAnsi="Arial" w:cs="Arial"/>
                <w:lang w:val="id-ID"/>
              </w:rPr>
              <w:t>buah</w:t>
            </w:r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956BB9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B1890" w:rsidRPr="008801CF" w:rsidTr="00956BB9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8801CF" w:rsidRDefault="00FB1890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256932" w:rsidRDefault="004B30A1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</w:rPr>
              <w:t>Meningkatnya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kualitas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dokumen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pelaporan</w:t>
            </w:r>
            <w:proofErr w:type="spellEnd"/>
            <w:r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90" w:rsidRPr="00CD1C0B" w:rsidRDefault="004B30A1" w:rsidP="00C23E17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 w:rsidRPr="008801CF">
              <w:rPr>
                <w:rFonts w:ascii="Arial" w:hAnsi="Arial" w:cs="Arial"/>
              </w:rPr>
              <w:t>Jumlah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id-ID"/>
              </w:rPr>
              <w:t xml:space="preserve">notulen rapat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id-ID"/>
              </w:rPr>
              <w:t>dan pelaporan kinerja.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B133D8" w:rsidRDefault="00EA7385" w:rsidP="004B30A1">
            <w:pPr>
              <w:jc w:val="center"/>
              <w:rPr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  <w:r w:rsidR="00B133D8">
              <w:rPr>
                <w:rFonts w:ascii="Arial" w:hAnsi="Arial" w:cs="Arial"/>
                <w:lang w:val="id-ID"/>
              </w:rPr>
              <w:t xml:space="preserve"> </w:t>
            </w:r>
            <w:r w:rsidR="004B30A1">
              <w:rPr>
                <w:rFonts w:ascii="Arial" w:hAnsi="Arial" w:cs="Arial"/>
                <w:lang w:val="id-ID"/>
              </w:rPr>
              <w:t>buah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EA7385" w:rsidP="004B30A1">
            <w:pPr>
              <w:jc w:val="center"/>
            </w:pPr>
            <w:r>
              <w:rPr>
                <w:rFonts w:ascii="Arial" w:hAnsi="Arial" w:cs="Arial"/>
                <w:lang w:val="id-ID"/>
              </w:rPr>
              <w:t>2</w:t>
            </w:r>
            <w:r w:rsidR="008864E8">
              <w:rPr>
                <w:rFonts w:ascii="Arial" w:hAnsi="Arial" w:cs="Arial"/>
                <w:lang w:val="id-ID"/>
              </w:rPr>
              <w:t xml:space="preserve"> </w:t>
            </w:r>
            <w:r w:rsidR="004B30A1">
              <w:rPr>
                <w:rFonts w:ascii="Arial" w:hAnsi="Arial" w:cs="Arial"/>
                <w:lang w:val="id-ID"/>
              </w:rPr>
              <w:t>buah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8801CF" w:rsidRDefault="00FB1890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Pr="000F2681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AB3E61" w:rsidRDefault="00AB3E61" w:rsidP="00AB3E61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0A6362">
        <w:rPr>
          <w:rFonts w:ascii="Arial" w:hAnsi="Arial" w:cs="Arial"/>
          <w:sz w:val="24"/>
          <w:szCs w:val="24"/>
        </w:rPr>
        <w:t>Pada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indikator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sasaran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target </w:t>
      </w:r>
      <w:r>
        <w:rPr>
          <w:rFonts w:ascii="Arial" w:hAnsi="Arial" w:cs="Arial"/>
          <w:sz w:val="24"/>
          <w:szCs w:val="24"/>
          <w:lang w:val="id-ID"/>
        </w:rPr>
        <w:t xml:space="preserve">Jumlah notulen rapat perencanaan dan pelaporan kinerja sebanyak </w:t>
      </w:r>
      <w:r w:rsidR="00EA7385">
        <w:rPr>
          <w:rFonts w:ascii="Arial" w:hAnsi="Arial" w:cs="Arial"/>
          <w:sz w:val="24"/>
          <w:szCs w:val="24"/>
          <w:lang w:val="id-ID"/>
        </w:rPr>
        <w:t>2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buah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 yaitu </w:t>
      </w:r>
      <w:r w:rsidR="00EA7385">
        <w:rPr>
          <w:rFonts w:ascii="Arial" w:hAnsi="Arial" w:cs="Arial"/>
          <w:sz w:val="24"/>
          <w:szCs w:val="24"/>
          <w:lang w:val="id-ID"/>
        </w:rPr>
        <w:t>Notulen Rapat Capaian Program Triwulan III dan Notulen Rapat Capaian Program Triwulan IV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 realisasinya </w:t>
      </w:r>
      <w:r w:rsidR="00EA7385">
        <w:rPr>
          <w:rFonts w:ascii="Arial" w:hAnsi="Arial" w:cs="Arial"/>
          <w:sz w:val="24"/>
          <w:szCs w:val="24"/>
          <w:lang w:val="id-ID"/>
        </w:rPr>
        <w:t>2</w:t>
      </w:r>
      <w:bookmarkStart w:id="0" w:name="_GoBack"/>
      <w:bookmarkEnd w:id="0"/>
      <w:r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buah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 sebagaimana Dokumen Perencanaan (</w:t>
      </w:r>
      <w:proofErr w:type="spellStart"/>
      <w:r w:rsidRPr="000A6362">
        <w:rPr>
          <w:rFonts w:ascii="Arial" w:hAnsi="Arial" w:cs="Arial"/>
          <w:sz w:val="24"/>
          <w:szCs w:val="24"/>
        </w:rPr>
        <w:t>capaiannya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100%</w:t>
      </w:r>
      <w:r w:rsidRPr="000A6362">
        <w:rPr>
          <w:rFonts w:ascii="Arial" w:hAnsi="Arial" w:cs="Arial"/>
          <w:sz w:val="24"/>
          <w:szCs w:val="24"/>
          <w:lang w:val="id-ID"/>
        </w:rPr>
        <w:t>).</w:t>
      </w:r>
    </w:p>
    <w:p w:rsidR="00AB3E61" w:rsidRPr="00AB3E61" w:rsidRDefault="00AB3E61" w:rsidP="00AB3E61">
      <w:pPr>
        <w:spacing w:after="0" w:line="360" w:lineRule="auto"/>
        <w:ind w:left="720"/>
        <w:jc w:val="both"/>
        <w:rPr>
          <w:rFonts w:ascii="Arial" w:hAnsi="Arial" w:cs="Arial"/>
          <w:sz w:val="12"/>
          <w:szCs w:val="24"/>
          <w:lang w:val="id-ID"/>
        </w:rPr>
      </w:pPr>
    </w:p>
    <w:p w:rsidR="00AC74FD" w:rsidRPr="00E041C6" w:rsidRDefault="00AB3E61" w:rsidP="00AB3E61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0A6362">
        <w:rPr>
          <w:rFonts w:ascii="Arial" w:hAnsi="Arial" w:cs="Arial"/>
          <w:sz w:val="24"/>
          <w:szCs w:val="24"/>
          <w:lang w:val="id-ID"/>
        </w:rPr>
        <w:t>Hal ini disebabkan karena</w:t>
      </w:r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dokumen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perencanaan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A6362">
        <w:rPr>
          <w:rFonts w:ascii="Arial" w:hAnsi="Arial" w:cs="Arial"/>
          <w:sz w:val="24"/>
          <w:szCs w:val="24"/>
        </w:rPr>
        <w:t>disusun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r w:rsidRPr="000A6362">
        <w:rPr>
          <w:rFonts w:ascii="Arial" w:hAnsi="Arial" w:cs="Arial"/>
          <w:sz w:val="24"/>
          <w:szCs w:val="24"/>
          <w:lang w:val="id-ID"/>
        </w:rPr>
        <w:t>berdasarkan pedoman</w:t>
      </w:r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peraturan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perundang-undangan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A6362">
        <w:rPr>
          <w:rFonts w:ascii="Arial" w:hAnsi="Arial" w:cs="Arial"/>
          <w:sz w:val="24"/>
          <w:szCs w:val="24"/>
        </w:rPr>
        <w:t>berlaku</w:t>
      </w:r>
      <w:r w:rsidR="00BE509B"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="00BE509B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E509B"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="00BE509B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BE509B"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Meningkatkan kinerja dibidang perencanaan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C2720F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awal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B6EE1">
        <w:rPr>
          <w:rFonts w:ascii="Arial" w:hAnsi="Arial" w:cs="Arial"/>
          <w:color w:val="000000"/>
          <w:sz w:val="24"/>
          <w:szCs w:val="24"/>
          <w:lang w:val="id-ID"/>
        </w:rPr>
        <w:t xml:space="preserve">pengumpulan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0F2681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B421E" w:rsidRPr="000F2681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12"/>
        </w:rPr>
      </w:pP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r w:rsidR="004B30A1">
        <w:rPr>
          <w:rFonts w:ascii="Arial" w:hAnsi="Arial" w:cs="Arial"/>
          <w:sz w:val="24"/>
          <w:szCs w:val="24"/>
          <w:lang w:val="id-ID"/>
        </w:rPr>
        <w:t xml:space="preserve">Pengelola Bahan </w:t>
      </w:r>
      <w:r w:rsidR="00BB6EE1">
        <w:rPr>
          <w:rFonts w:ascii="Arial" w:hAnsi="Arial" w:cs="Arial"/>
          <w:sz w:val="24"/>
          <w:szCs w:val="24"/>
          <w:lang w:val="id-ID"/>
        </w:rPr>
        <w:t xml:space="preserve">Perencanaan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C0204F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6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Perencanaan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FAUJI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, SAP</w:t>
            </w:r>
          </w:p>
          <w:p w:rsidR="000A5EBC" w:rsidRPr="006F0533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533">
              <w:rPr>
                <w:rFonts w:ascii="Arial" w:hAnsi="Arial" w:cs="Arial"/>
                <w:sz w:val="24"/>
                <w:szCs w:val="24"/>
                <w:lang w:val="id-ID"/>
              </w:rPr>
              <w:t>Tk. I</w:t>
            </w: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19680417 199202 1 004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0F2681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781830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AB3E61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Pengelola Bahan Perencanaan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B3E61" w:rsidRPr="00E041C6" w:rsidRDefault="00AB3E61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AB3E61" w:rsidRDefault="00AB3E61" w:rsidP="00AE4E4D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lang w:val="id-ID"/>
              </w:rPr>
              <w:t>ALFIAN FEBTI ANGGORO</w:t>
            </w:r>
          </w:p>
        </w:tc>
      </w:tr>
    </w:tbl>
    <w:p w:rsidR="00EB421E" w:rsidRPr="00C70AC6" w:rsidRDefault="00EB421E" w:rsidP="00C0204F">
      <w:pPr>
        <w:rPr>
          <w:rFonts w:ascii="Arial" w:hAnsi="Arial" w:cs="Arial"/>
          <w:color w:val="FF0000"/>
        </w:rPr>
      </w:pP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6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7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B30A1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6F0533"/>
    <w:rsid w:val="00703133"/>
    <w:rsid w:val="00742FB4"/>
    <w:rsid w:val="00750411"/>
    <w:rsid w:val="00781830"/>
    <w:rsid w:val="007D2012"/>
    <w:rsid w:val="0085062A"/>
    <w:rsid w:val="008801CF"/>
    <w:rsid w:val="008864E8"/>
    <w:rsid w:val="00893E81"/>
    <w:rsid w:val="008E191E"/>
    <w:rsid w:val="00931AE7"/>
    <w:rsid w:val="00956BB9"/>
    <w:rsid w:val="009705BC"/>
    <w:rsid w:val="00987106"/>
    <w:rsid w:val="009D0F72"/>
    <w:rsid w:val="009D5F6E"/>
    <w:rsid w:val="009D7B5D"/>
    <w:rsid w:val="009D7F62"/>
    <w:rsid w:val="00A67470"/>
    <w:rsid w:val="00A74D06"/>
    <w:rsid w:val="00A753A4"/>
    <w:rsid w:val="00AA5109"/>
    <w:rsid w:val="00AB3E61"/>
    <w:rsid w:val="00AC74FD"/>
    <w:rsid w:val="00AE4E4D"/>
    <w:rsid w:val="00B133D8"/>
    <w:rsid w:val="00B21A6B"/>
    <w:rsid w:val="00B37E8A"/>
    <w:rsid w:val="00B9108F"/>
    <w:rsid w:val="00B97695"/>
    <w:rsid w:val="00BB6EE1"/>
    <w:rsid w:val="00BC36AA"/>
    <w:rsid w:val="00BC39BD"/>
    <w:rsid w:val="00BE509B"/>
    <w:rsid w:val="00C0204F"/>
    <w:rsid w:val="00C2720F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B36DB"/>
    <w:rsid w:val="00E041C6"/>
    <w:rsid w:val="00E1014E"/>
    <w:rsid w:val="00EA7385"/>
    <w:rsid w:val="00EA7B0E"/>
    <w:rsid w:val="00EB421E"/>
    <w:rsid w:val="00EB750B"/>
    <w:rsid w:val="00ED36EC"/>
    <w:rsid w:val="00EF2EC6"/>
    <w:rsid w:val="00F577D4"/>
    <w:rsid w:val="00F72681"/>
    <w:rsid w:val="00F7325E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3FEE8-A840-47B4-9F41-40980C8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1249C-B49F-497E-889C-05C19FAB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2020-02-05T02:36:00Z</cp:lastPrinted>
  <dcterms:created xsi:type="dcterms:W3CDTF">2020-03-03T07:30:00Z</dcterms:created>
  <dcterms:modified xsi:type="dcterms:W3CDTF">2020-03-09T06:55:00Z</dcterms:modified>
</cp:coreProperties>
</file>