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CB6F79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CB6F79">
        <w:rPr>
          <w:rFonts w:ascii="Arial" w:hAnsi="Arial" w:cs="Arial"/>
          <w:b/>
          <w:bCs/>
          <w:sz w:val="28"/>
          <w:szCs w:val="28"/>
        </w:rPr>
        <w:t>9</w:t>
      </w:r>
    </w:p>
    <w:p w:rsidR="008801CF" w:rsidRPr="00CB6F79" w:rsidRDefault="00CB6F79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PENGELOLA GAJI</w:t>
      </w:r>
    </w:p>
    <w:p w:rsidR="0047211E" w:rsidRPr="00E041C6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B21A6B">
      <w:pPr>
        <w:numPr>
          <w:ilvl w:val="0"/>
          <w:numId w:val="17"/>
        </w:numPr>
        <w:tabs>
          <w:tab w:val="clear" w:pos="720"/>
          <w:tab w:val="num" w:pos="426"/>
        </w:tabs>
        <w:spacing w:after="0" w:line="312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  <w:lang w:val="en-US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  <w:lang w:val="en-US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B21A6B">
      <w:pPr>
        <w:spacing w:after="0" w:line="312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>Pel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aporan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>.</w:t>
      </w:r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B21A6B">
      <w:pPr>
        <w:spacing w:after="0" w:line="312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>.</w:t>
      </w:r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B21A6B" w:rsidRDefault="008801CF" w:rsidP="00B21A6B">
      <w:pPr>
        <w:spacing w:after="0" w:line="312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B21A6B">
      <w:pPr>
        <w:numPr>
          <w:ilvl w:val="0"/>
          <w:numId w:val="18"/>
        </w:numPr>
        <w:tabs>
          <w:tab w:val="clear" w:pos="720"/>
          <w:tab w:val="num" w:pos="426"/>
        </w:tabs>
        <w:spacing w:after="0" w:line="312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  <w:lang w:val="en-US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  <w:lang w:val="en-US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E041C6" w:rsidRDefault="00BE509B" w:rsidP="00B21A6B">
      <w:pPr>
        <w:numPr>
          <w:ilvl w:val="0"/>
          <w:numId w:val="19"/>
        </w:numPr>
        <w:spacing w:after="0" w:line="312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Memberikan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terukur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pemberi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47211E" w:rsidRPr="00E041C6">
        <w:rPr>
          <w:rFonts w:ascii="Arial" w:hAnsi="Arial" w:cs="Arial"/>
          <w:bCs/>
          <w:sz w:val="24"/>
          <w:szCs w:val="24"/>
        </w:rPr>
        <w:t>m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andat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seharusnya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dicapai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wujud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pertanggung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>;</w:t>
      </w:r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B21A6B">
      <w:pPr>
        <w:numPr>
          <w:ilvl w:val="0"/>
          <w:numId w:val="19"/>
        </w:numPr>
        <w:spacing w:after="0" w:line="312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upaya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perbaikan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berkesinambungan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bagi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penerima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mandat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meningkatkan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masa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>.</w:t>
      </w:r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B21A6B">
      <w:pPr>
        <w:spacing w:after="0" w:line="312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B21A6B">
      <w:pPr>
        <w:numPr>
          <w:ilvl w:val="0"/>
          <w:numId w:val="20"/>
        </w:numPr>
        <w:tabs>
          <w:tab w:val="clear" w:pos="720"/>
          <w:tab w:val="num" w:pos="426"/>
        </w:tabs>
        <w:spacing w:after="0" w:line="312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  <w:lang w:val="en-US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B21A6B">
      <w:pPr>
        <w:spacing w:after="0" w:line="312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menyusun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>.</w:t>
      </w:r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B21A6B">
      <w:pPr>
        <w:spacing w:after="0" w:line="312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  <w:lang w:val="en-US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B21A6B">
      <w:pPr>
        <w:numPr>
          <w:ilvl w:val="0"/>
          <w:numId w:val="21"/>
        </w:numPr>
        <w:spacing w:after="0" w:line="312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  <w:lang w:val="en-US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Pr="00E041C6" w:rsidRDefault="00CB6F79" w:rsidP="00B21A6B">
      <w:pPr>
        <w:widowControl w:val="0"/>
        <w:autoSpaceDE w:val="0"/>
        <w:autoSpaceDN w:val="0"/>
        <w:adjustRightInd w:val="0"/>
        <w:spacing w:after="0" w:line="312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 xml:space="preserve">Pengelola Gaji 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 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s:</w:t>
      </w:r>
    </w:p>
    <w:p w:rsidR="004C4C10" w:rsidRDefault="004C4C10" w:rsidP="00B21A6B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12" w:lineRule="auto"/>
        <w:ind w:left="993" w:hanging="284"/>
        <w:rPr>
          <w:rFonts w:ascii="Arial" w:hAnsi="Arial" w:cs="Arial"/>
          <w:sz w:val="24"/>
          <w:szCs w:val="24"/>
        </w:rPr>
      </w:pPr>
      <w:r w:rsidRPr="00E041C6">
        <w:rPr>
          <w:rFonts w:ascii="Arial" w:hAnsi="Arial" w:cs="Arial"/>
          <w:sz w:val="24"/>
          <w:szCs w:val="24"/>
        </w:rPr>
        <w:t>Menghimpun berkas kenaikan gaji berkala pegawai;</w:t>
      </w:r>
    </w:p>
    <w:p w:rsidR="00CB6F79" w:rsidRPr="00E041C6" w:rsidRDefault="00CB6F79" w:rsidP="00B21A6B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12" w:lineRule="auto"/>
        <w:ind w:left="993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Membuat Pengajuan Gaji;</w:t>
      </w:r>
    </w:p>
    <w:p w:rsidR="004C4C10" w:rsidRPr="00E041C6" w:rsidRDefault="004C4C10" w:rsidP="00B21A6B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12" w:lineRule="auto"/>
        <w:ind w:left="993" w:hanging="284"/>
        <w:rPr>
          <w:rFonts w:ascii="Arial" w:hAnsi="Arial" w:cs="Arial"/>
          <w:sz w:val="24"/>
          <w:szCs w:val="24"/>
        </w:rPr>
      </w:pPr>
      <w:r w:rsidRPr="00E041C6">
        <w:rPr>
          <w:rFonts w:ascii="Arial" w:hAnsi="Arial" w:cs="Arial"/>
          <w:sz w:val="24"/>
          <w:szCs w:val="24"/>
        </w:rPr>
        <w:t xml:space="preserve">Melaksanakan tugas lain yang diberikan oleh Kepala Sub Bagian </w:t>
      </w:r>
      <w:r w:rsidR="00CB6F79">
        <w:rPr>
          <w:rFonts w:ascii="Arial" w:hAnsi="Arial" w:cs="Arial"/>
          <w:sz w:val="24"/>
          <w:szCs w:val="24"/>
        </w:rPr>
        <w:t>Keuangan dan Aset.</w:t>
      </w:r>
    </w:p>
    <w:p w:rsidR="00F84C43" w:rsidRPr="00E041C6" w:rsidRDefault="00F84C43" w:rsidP="00F84C43">
      <w:pPr>
        <w:tabs>
          <w:tab w:val="left" w:pos="2410"/>
        </w:tabs>
        <w:spacing w:after="0" w:line="360" w:lineRule="auto"/>
        <w:ind w:left="1440"/>
        <w:jc w:val="both"/>
        <w:rPr>
          <w:rFonts w:ascii="Arial" w:hAnsi="Arial" w:cs="Arial"/>
          <w:sz w:val="24"/>
          <w:szCs w:val="24"/>
          <w:lang w:val="es-ES"/>
        </w:rPr>
      </w:pPr>
    </w:p>
    <w:p w:rsidR="004F1148" w:rsidRPr="00E041C6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Perencanaan/Perjanjian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Tahun 201</w:t>
      </w:r>
      <w:r w:rsidR="00CB6F79">
        <w:rPr>
          <w:rFonts w:ascii="Arial" w:hAnsi="Arial" w:cs="Arial"/>
          <w:bCs/>
          <w:sz w:val="24"/>
          <w:szCs w:val="24"/>
        </w:rPr>
        <w:t>9</w:t>
      </w:r>
      <w:r w:rsidRPr="00E041C6">
        <w:rPr>
          <w:rFonts w:ascii="Arial" w:hAnsi="Arial" w:cs="Arial"/>
          <w:bCs/>
          <w:sz w:val="24"/>
          <w:szCs w:val="24"/>
          <w:lang w:val="en-US"/>
        </w:rPr>
        <w:t>;</w:t>
      </w:r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7353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11"/>
        <w:gridCol w:w="2821"/>
        <w:gridCol w:w="1269"/>
      </w:tblGrid>
      <w:tr w:rsidR="002F31B5" w:rsidRPr="00475BF2" w:rsidTr="00CB6F79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 xml:space="preserve">Sasaran 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Indikator Kinerja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2F31B5" w:rsidRPr="00475BF2" w:rsidTr="00CB6F79">
        <w:trPr>
          <w:trHeight w:val="71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475BF2" w:rsidRDefault="002F31B5" w:rsidP="002F31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2F31B5" w:rsidRPr="00256932" w:rsidRDefault="002F31B5" w:rsidP="00CB6F79">
            <w:pPr>
              <w:pStyle w:val="ListParagraph1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t-IT"/>
              </w:rPr>
              <w:t>T</w:t>
            </w:r>
            <w:r w:rsidRPr="00CD1C0B">
              <w:rPr>
                <w:rFonts w:ascii="Arial" w:hAnsi="Arial" w:cs="Arial"/>
                <w:lang w:val="it-IT"/>
              </w:rPr>
              <w:t xml:space="preserve">ertib administrasi </w:t>
            </w:r>
            <w:r w:rsidR="00CB6F79">
              <w:rPr>
                <w:rFonts w:ascii="Arial" w:hAnsi="Arial" w:cs="Arial"/>
                <w:lang w:val="id-ID"/>
              </w:rPr>
              <w:t>Keuangan dan Aset</w:t>
            </w:r>
            <w:r w:rsidRPr="0025693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31B5" w:rsidRPr="00CB6F79" w:rsidRDefault="002F31B5" w:rsidP="00CB6F79">
            <w:pPr>
              <w:pStyle w:val="ListParagraph"/>
              <w:spacing w:line="240" w:lineRule="auto"/>
              <w:ind w:left="-23"/>
              <w:rPr>
                <w:rFonts w:ascii="Arial" w:hAnsi="Arial" w:cs="Arial"/>
              </w:rPr>
            </w:pPr>
            <w:r w:rsidRPr="00CD1C0B">
              <w:rPr>
                <w:rFonts w:ascii="Arial" w:hAnsi="Arial" w:cs="Arial"/>
              </w:rPr>
              <w:t xml:space="preserve">Jumlah </w:t>
            </w:r>
            <w:r w:rsidR="00CB6F79">
              <w:rPr>
                <w:rFonts w:ascii="Arial" w:hAnsi="Arial" w:cs="Arial"/>
              </w:rPr>
              <w:t>SPP Gaji yang dibuat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671FB5" w:rsidRDefault="00CB6F79" w:rsidP="00376F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 dokumen</w:t>
            </w:r>
          </w:p>
        </w:tc>
      </w:tr>
      <w:tr w:rsidR="002F31B5" w:rsidRPr="00475BF2" w:rsidTr="00CB6F79">
        <w:trPr>
          <w:trHeight w:val="717"/>
          <w:jc w:val="center"/>
        </w:trPr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475BF2" w:rsidRDefault="002F31B5" w:rsidP="002F31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1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31B5" w:rsidRDefault="002F31B5" w:rsidP="002F31B5">
            <w:pPr>
              <w:pStyle w:val="ListParagraph1"/>
              <w:spacing w:after="0" w:line="240" w:lineRule="auto"/>
              <w:ind w:left="0"/>
              <w:rPr>
                <w:rFonts w:ascii="Arial" w:hAnsi="Arial" w:cs="Arial"/>
                <w:lang w:val="it-IT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F31B5" w:rsidRPr="00CD1C0B" w:rsidRDefault="00CB6F79" w:rsidP="002F31B5">
            <w:pPr>
              <w:pStyle w:val="ListParagraph"/>
              <w:spacing w:line="240" w:lineRule="auto"/>
              <w:ind w:left="-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Jumlah Laporan SPJ Gaji yang dibuat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1B5" w:rsidRPr="00CB6F79" w:rsidRDefault="00CB6F79" w:rsidP="002F31B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 dokumen</w:t>
            </w:r>
          </w:p>
        </w:tc>
      </w:tr>
    </w:tbl>
    <w:p w:rsidR="004F6BE6" w:rsidRDefault="004F6BE6" w:rsidP="004F1148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2F31B5" w:rsidRDefault="002F31B5" w:rsidP="004F1148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CB6F79" w:rsidRDefault="00CB6F79" w:rsidP="004F1148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CB6F79" w:rsidRDefault="00CB6F79" w:rsidP="004F1148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CB6F79" w:rsidRDefault="00CB6F79" w:rsidP="004F1148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lastRenderedPageBreak/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EB421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8801CF" w:rsidTr="00EB421E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CB6F79" w:rsidRPr="008801CF" w:rsidTr="00EB421E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6F79" w:rsidRPr="008801CF" w:rsidRDefault="00CB6F79" w:rsidP="00CB6F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6F79" w:rsidRPr="00256932" w:rsidRDefault="00CB6F79" w:rsidP="00CB6F79">
            <w:pPr>
              <w:pStyle w:val="ListParagraph1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t-IT"/>
              </w:rPr>
              <w:t>T</w:t>
            </w:r>
            <w:r w:rsidRPr="00CD1C0B">
              <w:rPr>
                <w:rFonts w:ascii="Arial" w:hAnsi="Arial" w:cs="Arial"/>
                <w:lang w:val="it-IT"/>
              </w:rPr>
              <w:t xml:space="preserve">ertib administrasi </w:t>
            </w:r>
            <w:r>
              <w:rPr>
                <w:rFonts w:ascii="Arial" w:hAnsi="Arial" w:cs="Arial"/>
                <w:lang w:val="id-ID"/>
              </w:rPr>
              <w:t>Keuangan dan Aset</w:t>
            </w:r>
            <w:r w:rsidRPr="0025693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B6F79" w:rsidRPr="00CB6F79" w:rsidRDefault="00CB6F79" w:rsidP="00CB6F79">
            <w:pPr>
              <w:pStyle w:val="ListParagraph"/>
              <w:spacing w:line="240" w:lineRule="auto"/>
              <w:ind w:left="-23"/>
              <w:rPr>
                <w:rFonts w:ascii="Arial" w:hAnsi="Arial" w:cs="Arial"/>
              </w:rPr>
            </w:pPr>
            <w:r w:rsidRPr="00CD1C0B">
              <w:rPr>
                <w:rFonts w:ascii="Arial" w:hAnsi="Arial" w:cs="Arial"/>
              </w:rPr>
              <w:t xml:space="preserve">Jumlah </w:t>
            </w:r>
            <w:r>
              <w:rPr>
                <w:rFonts w:ascii="Arial" w:hAnsi="Arial" w:cs="Arial"/>
              </w:rPr>
              <w:t>SPP Gaji yang dibuat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CB6F79" w:rsidRPr="00671FB5" w:rsidRDefault="00CB6F79" w:rsidP="00CB6F7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 dokumen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CB6F79" w:rsidRPr="00671FB5" w:rsidRDefault="00CB6F79" w:rsidP="00CB6F7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 dokumen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CB6F79" w:rsidRPr="008801CF" w:rsidRDefault="00CB6F79" w:rsidP="00CB6F7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  <w:tr w:rsidR="00CB6F79" w:rsidRPr="008801CF" w:rsidTr="00CB6F79">
        <w:trPr>
          <w:trHeight w:val="548"/>
          <w:jc w:val="right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6F79" w:rsidRPr="008801CF" w:rsidRDefault="00CB6F79" w:rsidP="00CB6F79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6F79" w:rsidRPr="008801CF" w:rsidRDefault="00CB6F79" w:rsidP="00CB6F79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19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F79" w:rsidRPr="00CD1C0B" w:rsidRDefault="00CB6F79" w:rsidP="00CB6F79">
            <w:pPr>
              <w:pStyle w:val="ListParagraph"/>
              <w:spacing w:line="240" w:lineRule="auto"/>
              <w:ind w:left="-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Jumlah Laporan SPJ Gaji yang dibuat</w:t>
            </w:r>
          </w:p>
        </w:tc>
        <w:tc>
          <w:tcPr>
            <w:tcW w:w="15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F79" w:rsidRPr="00CB6F79" w:rsidRDefault="00CB6F79" w:rsidP="00CB6F7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 dokumen</w:t>
            </w:r>
          </w:p>
        </w:tc>
        <w:tc>
          <w:tcPr>
            <w:tcW w:w="13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B6F79" w:rsidRPr="00CB6F79" w:rsidRDefault="00CB6F79" w:rsidP="00CB6F7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 dokumen</w:t>
            </w: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B6F79" w:rsidRPr="008801CF" w:rsidRDefault="00CB6F79" w:rsidP="00CB6F7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</w:tbl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CA2053" w:rsidRDefault="00E041C6" w:rsidP="00EB421E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866332">
        <w:rPr>
          <w:rFonts w:ascii="Arial" w:hAnsi="Arial" w:cs="Arial"/>
          <w:sz w:val="24"/>
          <w:szCs w:val="24"/>
        </w:rPr>
        <w:t>Pada indikator sasaran</w:t>
      </w:r>
      <w:r>
        <w:rPr>
          <w:rFonts w:ascii="Arial" w:hAnsi="Arial" w:cs="Arial"/>
        </w:rPr>
        <w:t xml:space="preserve"> </w:t>
      </w:r>
      <w:r w:rsidRPr="00866332">
        <w:rPr>
          <w:rFonts w:ascii="Arial" w:hAnsi="Arial" w:cs="Arial"/>
          <w:sz w:val="24"/>
          <w:szCs w:val="24"/>
        </w:rPr>
        <w:t xml:space="preserve">target jumlah </w:t>
      </w:r>
      <w:r w:rsidR="00F8408B">
        <w:rPr>
          <w:rFonts w:ascii="Arial" w:hAnsi="Arial" w:cs="Arial"/>
          <w:sz w:val="24"/>
          <w:szCs w:val="24"/>
        </w:rPr>
        <w:t>SPP Gaji yang dibuat sebanyak 28 dokumen</w:t>
      </w:r>
      <w:r w:rsidRPr="0086633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A2053">
        <w:rPr>
          <w:rFonts w:ascii="Arial" w:hAnsi="Arial" w:cs="Arial"/>
          <w:sz w:val="24"/>
          <w:szCs w:val="24"/>
          <w:lang w:val="en-US"/>
        </w:rPr>
        <w:t>relisasinya</w:t>
      </w:r>
      <w:proofErr w:type="spellEnd"/>
      <w:r w:rsidR="00CA2053">
        <w:rPr>
          <w:rFonts w:ascii="Arial" w:hAnsi="Arial" w:cs="Arial"/>
          <w:sz w:val="24"/>
          <w:szCs w:val="24"/>
          <w:lang w:val="en-US"/>
        </w:rPr>
        <w:t xml:space="preserve"> </w:t>
      </w:r>
      <w:r w:rsidR="00F8408B">
        <w:rPr>
          <w:rFonts w:ascii="Arial" w:hAnsi="Arial" w:cs="Arial"/>
          <w:sz w:val="24"/>
          <w:szCs w:val="24"/>
        </w:rPr>
        <w:t>28 dokumen</w:t>
      </w:r>
      <w:r w:rsidR="00CA2053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="00CA2053"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 w:rsidR="00CA2053">
        <w:rPr>
          <w:rFonts w:ascii="Arial" w:hAnsi="Arial" w:cs="Arial"/>
          <w:sz w:val="24"/>
          <w:szCs w:val="24"/>
          <w:lang w:val="en-US"/>
        </w:rPr>
        <w:t xml:space="preserve"> 100%).</w:t>
      </w:r>
    </w:p>
    <w:p w:rsidR="00750411" w:rsidRPr="00CE015A" w:rsidRDefault="00CA2053" w:rsidP="00CE015A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indikator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sasaran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target </w:t>
      </w:r>
      <w:r w:rsidR="00F8408B">
        <w:rPr>
          <w:rFonts w:ascii="Arial" w:hAnsi="Arial" w:cs="Arial"/>
          <w:sz w:val="24"/>
          <w:szCs w:val="24"/>
        </w:rPr>
        <w:t>Jumlah Laporan SPJ Gaji yang dibuat sebanyak 28 dokumen</w:t>
      </w:r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F8408B">
        <w:rPr>
          <w:rFonts w:ascii="Arial" w:hAnsi="Arial" w:cs="Arial"/>
          <w:sz w:val="24"/>
          <w:szCs w:val="24"/>
        </w:rPr>
        <w:t>28 dokumen</w:t>
      </w:r>
      <w:r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100%).</w:t>
      </w:r>
      <w:r w:rsidR="00CE015A">
        <w:rPr>
          <w:rFonts w:ascii="Arial" w:hAnsi="Arial" w:cs="Arial"/>
          <w:sz w:val="24"/>
          <w:szCs w:val="24"/>
        </w:rPr>
        <w:t xml:space="preserve"> </w:t>
      </w:r>
      <w:r w:rsidR="00E041C6" w:rsidRPr="00866332">
        <w:rPr>
          <w:rFonts w:ascii="Arial" w:hAnsi="Arial" w:cs="Arial"/>
          <w:sz w:val="24"/>
          <w:szCs w:val="24"/>
        </w:rPr>
        <w:t>Hal ini disebabkan karena:</w:t>
      </w:r>
    </w:p>
    <w:p w:rsidR="00E041C6" w:rsidRPr="00866332" w:rsidRDefault="00D37EB2" w:rsidP="00E041C6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Dokumen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kenaikan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gaji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Berkala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tepat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waktu</w:t>
      </w:r>
      <w:proofErr w:type="spellEnd"/>
      <w:r w:rsidR="00E041C6">
        <w:rPr>
          <w:rFonts w:ascii="Arial" w:hAnsi="Arial" w:cs="Arial"/>
          <w:sz w:val="24"/>
          <w:szCs w:val="24"/>
        </w:rPr>
        <w:t>;</w:t>
      </w:r>
    </w:p>
    <w:p w:rsidR="00D37EB2" w:rsidRPr="00CE015A" w:rsidRDefault="00D37EB2" w:rsidP="00CE015A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Dokumen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CE015A">
        <w:rPr>
          <w:rFonts w:ascii="Arial" w:hAnsi="Arial" w:cs="Arial"/>
          <w:sz w:val="24"/>
          <w:szCs w:val="24"/>
        </w:rPr>
        <w:t>Laporan Gaji.</w:t>
      </w:r>
    </w:p>
    <w:p w:rsidR="00CE015A" w:rsidRPr="00CE015A" w:rsidRDefault="00CE015A" w:rsidP="00CE015A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8"/>
          <w:szCs w:val="24"/>
        </w:rPr>
      </w:pP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Rencana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Tindak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Lanjut</w:t>
      </w:r>
      <w:proofErr w:type="spellEnd"/>
    </w:p>
    <w:p w:rsidR="00750411" w:rsidRPr="00E041C6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r w:rsidRPr="00E041C6">
        <w:rPr>
          <w:rFonts w:ascii="Arial" w:hAnsi="Arial" w:cs="Arial"/>
          <w:color w:val="000000"/>
          <w:sz w:val="24"/>
          <w:szCs w:val="24"/>
        </w:rPr>
        <w:t>Rencana tindak lanjut untuk meminimalisir kegagalan dan sebagai langkah peningkatan capaian kinerja pada tahun yang akan datang, adalah :</w:t>
      </w:r>
    </w:p>
    <w:p w:rsidR="00E041C6" w:rsidRPr="00B21A6B" w:rsidRDefault="00E041C6" w:rsidP="00B21A6B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B21A6B">
        <w:rPr>
          <w:rFonts w:ascii="Arial" w:hAnsi="Arial" w:cs="Arial"/>
          <w:color w:val="000000"/>
          <w:sz w:val="24"/>
          <w:szCs w:val="24"/>
          <w:lang w:val="en-US"/>
        </w:rPr>
        <w:t>Meningkatkan</w:t>
      </w:r>
      <w:proofErr w:type="spellEnd"/>
      <w:r w:rsidRPr="00B21A6B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B21A6B">
        <w:rPr>
          <w:rFonts w:ascii="Arial" w:hAnsi="Arial" w:cs="Arial"/>
          <w:color w:val="000000"/>
          <w:sz w:val="24"/>
          <w:szCs w:val="24"/>
          <w:lang w:val="en-US"/>
        </w:rPr>
        <w:t>tertib</w:t>
      </w:r>
      <w:proofErr w:type="spellEnd"/>
      <w:r w:rsidRPr="00B21A6B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B21A6B">
        <w:rPr>
          <w:rFonts w:ascii="Arial" w:hAnsi="Arial" w:cs="Arial"/>
          <w:color w:val="000000"/>
          <w:sz w:val="24"/>
          <w:szCs w:val="24"/>
          <w:lang w:val="en-US"/>
        </w:rPr>
        <w:t>administrasi</w:t>
      </w:r>
      <w:proofErr w:type="spellEnd"/>
      <w:r w:rsidRPr="00B21A6B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CE015A">
        <w:rPr>
          <w:rFonts w:ascii="Arial" w:hAnsi="Arial" w:cs="Arial"/>
          <w:color w:val="000000"/>
          <w:sz w:val="24"/>
          <w:szCs w:val="24"/>
        </w:rPr>
        <w:t>Dokumen Laporan Gaji</w:t>
      </w:r>
      <w:r w:rsidRPr="00B21A6B">
        <w:rPr>
          <w:rFonts w:ascii="Arial" w:hAnsi="Arial" w:cs="Arial"/>
          <w:color w:val="000000"/>
          <w:sz w:val="24"/>
          <w:szCs w:val="24"/>
          <w:lang w:val="en-US"/>
        </w:rPr>
        <w:t>.</w:t>
      </w:r>
    </w:p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8801CF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  <w:lang w:val="en-US"/>
        </w:rPr>
        <w:t>Langsung</w:t>
      </w:r>
      <w:proofErr w:type="spellEnd"/>
    </w:p>
    <w:p w:rsidR="00A753A4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334EE5" w:rsidRPr="00E041C6" w:rsidRDefault="00334EE5" w:rsidP="00E041C6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  <w:lang w:val="en-US"/>
        </w:rPr>
      </w:pPr>
      <w:r w:rsidRPr="00E041C6">
        <w:rPr>
          <w:rFonts w:ascii="Arial" w:eastAsia="Calibri" w:hAnsi="Arial" w:cs="Arial"/>
          <w:sz w:val="24"/>
          <w:szCs w:val="24"/>
        </w:rPr>
        <w:t xml:space="preserve">Melalui Laporan Kinerja ini diharapkan bisa menjadi gambaran 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capaian kinerja khususnya </w:t>
      </w:r>
      <w:r w:rsidR="00CE015A">
        <w:rPr>
          <w:rFonts w:ascii="Arial" w:hAnsi="Arial" w:cs="Arial"/>
          <w:sz w:val="24"/>
          <w:szCs w:val="24"/>
        </w:rPr>
        <w:t>Pengelola Gaji</w:t>
      </w:r>
      <w:r w:rsidR="00B9108F" w:rsidRPr="00E041C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 dan menjadi bahan</w:t>
      </w:r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evaluasi </w:t>
      </w:r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 peningkatan kinerja di tahun mendatang. Terima Kasih.</w:t>
      </w: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:rsidTr="00334EE5">
        <w:trPr>
          <w:jc w:val="center"/>
        </w:trPr>
        <w:tc>
          <w:tcPr>
            <w:tcW w:w="4789" w:type="dxa"/>
          </w:tcPr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E041C6" w:rsidRDefault="00FD757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1C6">
              <w:rPr>
                <w:rFonts w:ascii="Arial" w:hAnsi="Arial" w:cs="Arial"/>
                <w:sz w:val="24"/>
                <w:szCs w:val="24"/>
              </w:rPr>
              <w:t>Mengetahui</w:t>
            </w:r>
          </w:p>
          <w:p w:rsidR="00644D57" w:rsidRPr="00CE015A" w:rsidRDefault="00E041C6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644D57" w:rsidRPr="00E041C6">
              <w:rPr>
                <w:rFonts w:ascii="Arial" w:hAnsi="Arial" w:cs="Arial"/>
                <w:sz w:val="24"/>
                <w:szCs w:val="24"/>
                <w:lang w:val="en-US"/>
              </w:rPr>
              <w:t xml:space="preserve">Sub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  <w:lang w:val="en-US"/>
              </w:rPr>
              <w:t>Bagian</w:t>
            </w:r>
            <w:proofErr w:type="spellEnd"/>
            <w:r w:rsidR="00644D57" w:rsidRPr="00E041C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CE015A">
              <w:rPr>
                <w:rFonts w:ascii="Arial" w:hAnsi="Arial" w:cs="Arial"/>
                <w:sz w:val="24"/>
                <w:szCs w:val="24"/>
              </w:rPr>
              <w:t>Keuangan dan Aset</w:t>
            </w: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CE015A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YUYINAH LUTFAH, S.Sos, MM</w:t>
            </w:r>
          </w:p>
          <w:p w:rsidR="00644D57" w:rsidRPr="00E041C6" w:rsidRDefault="00CE015A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Pembina</w:t>
            </w: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1C6"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="00CE015A">
              <w:rPr>
                <w:rFonts w:ascii="Arial" w:hAnsi="Arial" w:cs="Arial"/>
                <w:sz w:val="24"/>
                <w:szCs w:val="24"/>
              </w:rPr>
              <w:t>19670503 199003 2 011</w:t>
            </w:r>
          </w:p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789" w:type="dxa"/>
          </w:tcPr>
          <w:p w:rsidR="00334EE5" w:rsidRPr="00CE015A" w:rsidRDefault="00E041C6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</w:t>
            </w:r>
            <w:r w:rsidR="00CE015A">
              <w:rPr>
                <w:rFonts w:ascii="Arial" w:hAnsi="Arial" w:cs="Arial"/>
                <w:sz w:val="24"/>
                <w:szCs w:val="24"/>
              </w:rPr>
              <w:t>Januari 2020</w:t>
            </w:r>
          </w:p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CE015A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Pengelola Gaji</w:t>
            </w: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Default="00644D57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CE015A" w:rsidRPr="00E041C6" w:rsidRDefault="00CE015A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644D57" w:rsidRPr="00E041C6" w:rsidRDefault="00CE015A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RETRI WAHYU INDAH HADI</w:t>
            </w: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1C6">
              <w:rPr>
                <w:rFonts w:ascii="Arial" w:hAnsi="Arial" w:cs="Arial"/>
                <w:sz w:val="24"/>
                <w:szCs w:val="24"/>
              </w:rPr>
              <w:t>Pengatur</w:t>
            </w: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1C6"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="00CE015A">
              <w:rPr>
                <w:rFonts w:ascii="Arial" w:hAnsi="Arial" w:cs="Arial"/>
                <w:sz w:val="24"/>
                <w:szCs w:val="24"/>
              </w:rPr>
              <w:t>19890313 201504 2 002</w:t>
            </w:r>
          </w:p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85062A" w:rsidRDefault="0085062A" w:rsidP="00C70AC6">
      <w:pPr>
        <w:spacing w:after="0" w:line="360" w:lineRule="auto"/>
        <w:jc w:val="right"/>
        <w:rPr>
          <w:rFonts w:ascii="Arial" w:hAnsi="Arial" w:cs="Arial"/>
          <w:bCs/>
        </w:rPr>
      </w:pPr>
      <w:bookmarkStart w:id="0" w:name="_GoBack"/>
      <w:bookmarkEnd w:id="0"/>
    </w:p>
    <w:sectPr w:rsidR="0085062A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6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7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7"/>
  </w:num>
  <w:num w:numId="3">
    <w:abstractNumId w:val="8"/>
  </w:num>
  <w:num w:numId="4">
    <w:abstractNumId w:val="18"/>
  </w:num>
  <w:num w:numId="5">
    <w:abstractNumId w:val="4"/>
  </w:num>
  <w:num w:numId="6">
    <w:abstractNumId w:val="14"/>
  </w:num>
  <w:num w:numId="7">
    <w:abstractNumId w:val="21"/>
  </w:num>
  <w:num w:numId="8">
    <w:abstractNumId w:val="1"/>
  </w:num>
  <w:num w:numId="9">
    <w:abstractNumId w:val="19"/>
  </w:num>
  <w:num w:numId="10">
    <w:abstractNumId w:val="2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0"/>
  </w:num>
  <w:num w:numId="16">
    <w:abstractNumId w:val="24"/>
  </w:num>
  <w:num w:numId="17">
    <w:abstractNumId w:val="5"/>
  </w:num>
  <w:num w:numId="18">
    <w:abstractNumId w:val="9"/>
  </w:num>
  <w:num w:numId="19">
    <w:abstractNumId w:val="13"/>
  </w:num>
  <w:num w:numId="20">
    <w:abstractNumId w:val="6"/>
  </w:num>
  <w:num w:numId="21">
    <w:abstractNumId w:val="25"/>
  </w:num>
  <w:num w:numId="22">
    <w:abstractNumId w:val="15"/>
  </w:num>
  <w:num w:numId="23">
    <w:abstractNumId w:val="3"/>
  </w:num>
  <w:num w:numId="24">
    <w:abstractNumId w:val="12"/>
  </w:num>
  <w:num w:numId="25">
    <w:abstractNumId w:val="10"/>
  </w:num>
  <w:num w:numId="26">
    <w:abstractNumId w:val="2"/>
  </w:num>
  <w:num w:numId="27">
    <w:abstractNumId w:val="23"/>
  </w:num>
  <w:num w:numId="28">
    <w:abstractNumId w:val="2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5DBE"/>
    <w:rsid w:val="000A1C47"/>
    <w:rsid w:val="001A27E9"/>
    <w:rsid w:val="001C3F94"/>
    <w:rsid w:val="002260D9"/>
    <w:rsid w:val="002C5FE9"/>
    <w:rsid w:val="002F31B5"/>
    <w:rsid w:val="0031152C"/>
    <w:rsid w:val="00316D50"/>
    <w:rsid w:val="0033075C"/>
    <w:rsid w:val="00330D34"/>
    <w:rsid w:val="00334EE5"/>
    <w:rsid w:val="003357B2"/>
    <w:rsid w:val="003555E9"/>
    <w:rsid w:val="00376F98"/>
    <w:rsid w:val="003F54C8"/>
    <w:rsid w:val="0042285A"/>
    <w:rsid w:val="00440E9E"/>
    <w:rsid w:val="0047211E"/>
    <w:rsid w:val="004C4C10"/>
    <w:rsid w:val="004E7284"/>
    <w:rsid w:val="004F1148"/>
    <w:rsid w:val="004F6BE6"/>
    <w:rsid w:val="005623C1"/>
    <w:rsid w:val="005A5DBE"/>
    <w:rsid w:val="005B3ED2"/>
    <w:rsid w:val="005E09DC"/>
    <w:rsid w:val="00637DE9"/>
    <w:rsid w:val="00644D57"/>
    <w:rsid w:val="00667274"/>
    <w:rsid w:val="00703133"/>
    <w:rsid w:val="00723CCF"/>
    <w:rsid w:val="00742DCA"/>
    <w:rsid w:val="00742FB4"/>
    <w:rsid w:val="00750411"/>
    <w:rsid w:val="00775A1A"/>
    <w:rsid w:val="007D2012"/>
    <w:rsid w:val="0085062A"/>
    <w:rsid w:val="008801CF"/>
    <w:rsid w:val="00893E81"/>
    <w:rsid w:val="008E191E"/>
    <w:rsid w:val="00931AE7"/>
    <w:rsid w:val="009705BC"/>
    <w:rsid w:val="00987106"/>
    <w:rsid w:val="009D0F72"/>
    <w:rsid w:val="009D5F6E"/>
    <w:rsid w:val="009D7B5D"/>
    <w:rsid w:val="009D7F62"/>
    <w:rsid w:val="00A753A4"/>
    <w:rsid w:val="00AA5109"/>
    <w:rsid w:val="00AC74FD"/>
    <w:rsid w:val="00AE5E16"/>
    <w:rsid w:val="00B21A6B"/>
    <w:rsid w:val="00B37E8A"/>
    <w:rsid w:val="00B9108F"/>
    <w:rsid w:val="00B97695"/>
    <w:rsid w:val="00BC39BD"/>
    <w:rsid w:val="00BE509B"/>
    <w:rsid w:val="00C70AC6"/>
    <w:rsid w:val="00C92CB4"/>
    <w:rsid w:val="00CA2053"/>
    <w:rsid w:val="00CA35B4"/>
    <w:rsid w:val="00CA7FBE"/>
    <w:rsid w:val="00CB2FAF"/>
    <w:rsid w:val="00CB6F79"/>
    <w:rsid w:val="00CC0E6D"/>
    <w:rsid w:val="00CE015A"/>
    <w:rsid w:val="00D21A23"/>
    <w:rsid w:val="00D37EB2"/>
    <w:rsid w:val="00D510C1"/>
    <w:rsid w:val="00D57110"/>
    <w:rsid w:val="00DB36DB"/>
    <w:rsid w:val="00DD7FA0"/>
    <w:rsid w:val="00E041C6"/>
    <w:rsid w:val="00E1014E"/>
    <w:rsid w:val="00EA7B0E"/>
    <w:rsid w:val="00EB421E"/>
    <w:rsid w:val="00EB750B"/>
    <w:rsid w:val="00ED36EC"/>
    <w:rsid w:val="00F577D4"/>
    <w:rsid w:val="00F72681"/>
    <w:rsid w:val="00F8408B"/>
    <w:rsid w:val="00F84C43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B7EBEF-46BB-45C2-A37B-6D83AEC4A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1246F-2E37-401F-920F-3274161EC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39</cp:revision>
  <cp:lastPrinted>2019-03-13T07:28:00Z</cp:lastPrinted>
  <dcterms:created xsi:type="dcterms:W3CDTF">2018-01-09T02:44:00Z</dcterms:created>
  <dcterms:modified xsi:type="dcterms:W3CDTF">2020-03-30T02:56:00Z</dcterms:modified>
</cp:coreProperties>
</file>