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>ADMINISTRASI PERENCANAAN DAN PROGRAM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FA30D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F2EC6" w:rsidP="00FA30D9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Perencanaan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dan</w:t>
      </w:r>
      <w:proofErr w:type="spellEnd"/>
      <w:r>
        <w:rPr>
          <w:rFonts w:ascii="Arial" w:hAnsi="Arial" w:cs="Arial"/>
          <w:sz w:val="24"/>
        </w:rPr>
        <w:t xml:space="preserve"> Program</w:t>
      </w:r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EF2EC6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Dokumen Perencanaan (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Renstra, Renja</w:t>
      </w:r>
      <w:r w:rsidR="00C73F0A">
        <w:rPr>
          <w:rFonts w:ascii="Arial" w:eastAsia="Times New Roman" w:hAnsi="Arial" w:cs="Arial"/>
          <w:sz w:val="24"/>
          <w:szCs w:val="24"/>
          <w:lang w:val="id-ID"/>
        </w:rPr>
        <w:t>)</w:t>
      </w:r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F2EC6" w:rsidRDefault="00F7325E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Menghimpun Dokumen Perencanaan (Perjakin, IKI dan Renaksi);</w:t>
      </w:r>
    </w:p>
    <w:p w:rsidR="00EF2EC6" w:rsidRPr="00EF2EC6" w:rsidRDefault="00EF2EC6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Mengintput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 xml:space="preserve">data </w:t>
      </w:r>
      <w:r w:rsidRPr="00EF2EC6">
        <w:rPr>
          <w:rFonts w:ascii="Arial" w:eastAsia="Times New Roman" w:hAnsi="Arial" w:cs="Arial"/>
          <w:sz w:val="24"/>
          <w:szCs w:val="24"/>
        </w:rPr>
        <w:t xml:space="preserve">E Planning, E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Musrenbang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Pr="00EF2EC6" w:rsidRDefault="00EF2EC6" w:rsidP="00FA30D9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326EEE" w:rsidRPr="00E041C6" w:rsidRDefault="00326EEE" w:rsidP="00FA30D9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A30D9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0A636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0A636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0A636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0A636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0A6362" w:rsidRDefault="00FB1890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0A6362" w:rsidRDefault="0099216A" w:rsidP="0099216A">
            <w:pPr>
              <w:spacing w:line="36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A6362">
              <w:rPr>
                <w:rFonts w:ascii="Arial" w:hAnsi="Arial" w:cs="Arial"/>
                <w:sz w:val="24"/>
                <w:szCs w:val="24"/>
                <w:lang w:val="id-ID"/>
              </w:rPr>
              <w:t>Jumlah dokumen perencanaan.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0A6362" w:rsidRDefault="00127798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 w:rsidR="00FB1890" w:rsidRPr="000A6362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FB1890" w:rsidRPr="000A6362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AE4E4D" w:rsidRPr="000A636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0A636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0A636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0A6362" w:rsidRDefault="00AE4E4D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0A6362" w:rsidRDefault="00AE4E4D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314536" w:rsidRPr="000A6362" w:rsidRDefault="00314536" w:rsidP="00FA30D9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2F31B5" w:rsidRPr="000A6362" w:rsidRDefault="002F31B5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AC74FD" w:rsidRPr="000A6362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A6362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0A6362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6"/>
          <w:szCs w:val="24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778"/>
        <w:gridCol w:w="1559"/>
        <w:gridCol w:w="1538"/>
        <w:gridCol w:w="1259"/>
      </w:tblGrid>
      <w:tr w:rsidR="00750411" w:rsidRPr="000A6362" w:rsidTr="00127798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Sasaran</w:t>
            </w:r>
            <w:proofErr w:type="spellEnd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  <w:proofErr w:type="spellEnd"/>
          </w:p>
          <w:p w:rsidR="00750411" w:rsidRPr="000A6362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6362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FB1890" w:rsidRPr="000A6362" w:rsidTr="00127798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1890" w:rsidRPr="000A6362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99216A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kualitas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A63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362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890" w:rsidRPr="000A6362" w:rsidRDefault="0099216A" w:rsidP="00FA30D9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A6362">
              <w:rPr>
                <w:rFonts w:ascii="Arial" w:hAnsi="Arial" w:cs="Arial"/>
                <w:sz w:val="24"/>
                <w:szCs w:val="24"/>
                <w:lang w:val="id-ID"/>
              </w:rPr>
              <w:t>Jumlah dokumen perencanaan.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127798" w:rsidP="00FA30D9">
            <w:pPr>
              <w:spacing w:line="360" w:lineRule="auto"/>
              <w:jc w:val="center"/>
              <w:rPr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 w:rsidR="00B133D8" w:rsidRPr="000A6362">
              <w:rPr>
                <w:rFonts w:ascii="Arial" w:hAnsi="Arial" w:cs="Arial"/>
                <w:sz w:val="24"/>
                <w:szCs w:val="24"/>
                <w:lang w:val="id-ID"/>
              </w:rPr>
              <w:t xml:space="preserve"> Dokumen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127798" w:rsidP="00FA30D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4 </w:t>
            </w:r>
            <w:r w:rsidR="00B133D8" w:rsidRPr="000A6362"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890" w:rsidRPr="000A6362" w:rsidRDefault="00FB1890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6362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0A6362" w:rsidRDefault="00E041C6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0A6362">
        <w:rPr>
          <w:rFonts w:ascii="Arial" w:hAnsi="Arial" w:cs="Arial"/>
          <w:sz w:val="24"/>
          <w:szCs w:val="24"/>
        </w:rPr>
        <w:t>Pada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indikator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sz w:val="24"/>
          <w:szCs w:val="24"/>
        </w:rPr>
        <w:t>sasaran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Jumlah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dokumen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perencanaan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berkualitas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baik</w:t>
      </w:r>
      <w:proofErr w:type="spellEnd"/>
      <w:r w:rsidRPr="000A6362">
        <w:rPr>
          <w:rFonts w:ascii="Arial" w:hAnsi="Arial" w:cs="Arial"/>
          <w:sz w:val="24"/>
          <w:szCs w:val="24"/>
        </w:rPr>
        <w:t xml:space="preserve"> </w:t>
      </w:r>
      <w:r w:rsidR="0099216A" w:rsidRPr="000A6362">
        <w:rPr>
          <w:rFonts w:ascii="Arial" w:hAnsi="Arial" w:cs="Arial"/>
          <w:sz w:val="24"/>
          <w:szCs w:val="24"/>
          <w:lang w:val="id-ID"/>
        </w:rPr>
        <w:t xml:space="preserve">  </w:t>
      </w:r>
      <w:r w:rsidR="00127798">
        <w:rPr>
          <w:rFonts w:ascii="Arial" w:hAnsi="Arial" w:cs="Arial"/>
          <w:sz w:val="24"/>
          <w:szCs w:val="24"/>
          <w:lang w:val="id-ID"/>
        </w:rPr>
        <w:t>4</w:t>
      </w:r>
      <w:r w:rsidR="00BB6EE1" w:rsidRPr="000A6362">
        <w:rPr>
          <w:rFonts w:ascii="Arial" w:hAnsi="Arial" w:cs="Arial"/>
          <w:sz w:val="24"/>
          <w:szCs w:val="24"/>
          <w:lang w:val="id-ID"/>
        </w:rPr>
        <w:t xml:space="preserve"> Dokumen</w:t>
      </w:r>
      <w:r w:rsidR="00910DDC" w:rsidRPr="000A6362">
        <w:rPr>
          <w:rFonts w:ascii="Arial" w:hAnsi="Arial" w:cs="Arial"/>
          <w:sz w:val="24"/>
          <w:szCs w:val="24"/>
          <w:lang w:val="id-ID"/>
        </w:rPr>
        <w:t xml:space="preserve"> yaitu Perjanjian Kinerja Tahun 2019, Rencana Aksi Tahun 2019, Indika</w:t>
      </w:r>
      <w:r w:rsidR="0099216A" w:rsidRPr="000A6362">
        <w:rPr>
          <w:rFonts w:ascii="Arial" w:hAnsi="Arial" w:cs="Arial"/>
          <w:sz w:val="24"/>
          <w:szCs w:val="24"/>
          <w:lang w:val="id-ID"/>
        </w:rPr>
        <w:t xml:space="preserve">tor Kinerja Individu Tahun 2019, </w:t>
      </w:r>
      <w:r w:rsidR="00910DDC" w:rsidRPr="000A6362">
        <w:rPr>
          <w:rFonts w:ascii="Arial" w:hAnsi="Arial" w:cs="Arial"/>
          <w:sz w:val="24"/>
          <w:szCs w:val="24"/>
          <w:lang w:val="id-ID"/>
        </w:rPr>
        <w:t>Rencana Kerja</w:t>
      </w:r>
      <w:r w:rsidR="0099216A" w:rsidRPr="000A6362">
        <w:rPr>
          <w:rFonts w:ascii="Arial" w:hAnsi="Arial" w:cs="Arial"/>
          <w:sz w:val="24"/>
          <w:szCs w:val="24"/>
          <w:lang w:val="id-ID"/>
        </w:rPr>
        <w:t xml:space="preserve"> (Renja</w:t>
      </w:r>
      <w:r w:rsidR="00127798">
        <w:rPr>
          <w:rFonts w:ascii="Arial" w:hAnsi="Arial" w:cs="Arial"/>
          <w:sz w:val="24"/>
          <w:szCs w:val="24"/>
          <w:lang w:val="id-ID"/>
        </w:rPr>
        <w:t xml:space="preserve">) </w:t>
      </w:r>
      <w:r w:rsidR="00BB6EE1" w:rsidRPr="000A6362">
        <w:rPr>
          <w:rFonts w:ascii="Arial" w:hAnsi="Arial" w:cs="Arial"/>
          <w:sz w:val="24"/>
          <w:szCs w:val="24"/>
          <w:lang w:val="id-ID"/>
        </w:rPr>
        <w:t xml:space="preserve">realisasinya </w:t>
      </w:r>
      <w:r w:rsidR="00127798">
        <w:rPr>
          <w:rFonts w:ascii="Arial" w:hAnsi="Arial" w:cs="Arial"/>
          <w:sz w:val="24"/>
          <w:szCs w:val="24"/>
          <w:lang w:val="id-ID"/>
        </w:rPr>
        <w:t>4</w:t>
      </w:r>
      <w:bookmarkStart w:id="0" w:name="_GoBack"/>
      <w:bookmarkEnd w:id="0"/>
      <w:r w:rsidR="00BB6EE1" w:rsidRPr="000A6362">
        <w:rPr>
          <w:rFonts w:ascii="Arial" w:hAnsi="Arial" w:cs="Arial"/>
          <w:sz w:val="24"/>
          <w:szCs w:val="24"/>
          <w:lang w:val="id-ID"/>
        </w:rPr>
        <w:t xml:space="preserve"> dokumen</w:t>
      </w:r>
      <w:r w:rsidR="00910DDC" w:rsidRPr="000A6362">
        <w:rPr>
          <w:rFonts w:ascii="Arial" w:hAnsi="Arial" w:cs="Arial"/>
          <w:sz w:val="24"/>
          <w:szCs w:val="24"/>
          <w:lang w:val="id-ID"/>
        </w:rPr>
        <w:t xml:space="preserve"> sebagaimana Dokumen Perencanaan</w:t>
      </w:r>
      <w:r w:rsidR="0099216A" w:rsidRPr="000A6362">
        <w:rPr>
          <w:rFonts w:ascii="Arial" w:hAnsi="Arial" w:cs="Arial"/>
          <w:sz w:val="24"/>
          <w:szCs w:val="24"/>
          <w:lang w:val="id-ID"/>
        </w:rPr>
        <w:t xml:space="preserve"> </w:t>
      </w:r>
      <w:r w:rsidR="00BB6EE1" w:rsidRPr="000A6362">
        <w:rPr>
          <w:rFonts w:ascii="Arial" w:hAnsi="Arial" w:cs="Arial"/>
          <w:sz w:val="24"/>
          <w:szCs w:val="24"/>
          <w:lang w:val="id-ID"/>
        </w:rPr>
        <w:t>(</w:t>
      </w:r>
      <w:proofErr w:type="spellStart"/>
      <w:r w:rsidR="001872FD" w:rsidRPr="000A6362">
        <w:rPr>
          <w:rFonts w:ascii="Arial" w:hAnsi="Arial" w:cs="Arial"/>
          <w:sz w:val="24"/>
          <w:szCs w:val="24"/>
        </w:rPr>
        <w:t>capaiannya</w:t>
      </w:r>
      <w:proofErr w:type="spellEnd"/>
      <w:r w:rsidR="001872FD" w:rsidRPr="000A6362">
        <w:rPr>
          <w:rFonts w:ascii="Arial" w:hAnsi="Arial" w:cs="Arial"/>
          <w:sz w:val="24"/>
          <w:szCs w:val="24"/>
        </w:rPr>
        <w:t xml:space="preserve"> 1</w:t>
      </w:r>
      <w:r w:rsidR="00F740F2" w:rsidRPr="000A6362">
        <w:rPr>
          <w:rFonts w:ascii="Arial" w:hAnsi="Arial" w:cs="Arial"/>
          <w:sz w:val="24"/>
          <w:szCs w:val="24"/>
        </w:rPr>
        <w:t>00</w:t>
      </w:r>
      <w:r w:rsidR="001872FD" w:rsidRPr="000A6362">
        <w:rPr>
          <w:rFonts w:ascii="Arial" w:hAnsi="Arial" w:cs="Arial"/>
          <w:sz w:val="24"/>
          <w:szCs w:val="24"/>
        </w:rPr>
        <w:t>%</w:t>
      </w:r>
      <w:r w:rsidR="00BB6EE1" w:rsidRPr="000A6362">
        <w:rPr>
          <w:rFonts w:ascii="Arial" w:hAnsi="Arial" w:cs="Arial"/>
          <w:sz w:val="24"/>
          <w:szCs w:val="24"/>
          <w:lang w:val="id-ID"/>
        </w:rPr>
        <w:t>)</w:t>
      </w:r>
      <w:r w:rsidR="00C73F0A" w:rsidRPr="000A6362">
        <w:rPr>
          <w:rFonts w:ascii="Arial" w:hAnsi="Arial" w:cs="Arial"/>
          <w:sz w:val="24"/>
          <w:szCs w:val="24"/>
          <w:lang w:val="id-ID"/>
        </w:rPr>
        <w:t>.</w:t>
      </w:r>
    </w:p>
    <w:p w:rsidR="00CA2053" w:rsidRPr="000A6362" w:rsidRDefault="00C73F0A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A6362"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dokumen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perencanaan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disusun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r w:rsidR="00BB6EE1" w:rsidRPr="000A6362">
        <w:rPr>
          <w:rFonts w:ascii="Arial" w:hAnsi="Arial" w:cs="Arial"/>
          <w:sz w:val="24"/>
          <w:szCs w:val="24"/>
          <w:lang w:val="id-ID"/>
        </w:rPr>
        <w:t>berdasarkan pedoman</w:t>
      </w:r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peraturan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perundang-undangan</w:t>
      </w:r>
      <w:proofErr w:type="spellEnd"/>
      <w:r w:rsidR="00FB1890" w:rsidRPr="000A6362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B1890" w:rsidRPr="000A6362">
        <w:rPr>
          <w:rFonts w:ascii="Arial" w:hAnsi="Arial" w:cs="Arial"/>
          <w:sz w:val="24"/>
          <w:szCs w:val="24"/>
        </w:rPr>
        <w:t>berlaku</w:t>
      </w:r>
      <w:proofErr w:type="spellEnd"/>
      <w:r w:rsidR="00CA2053" w:rsidRPr="000A6362">
        <w:rPr>
          <w:rFonts w:ascii="Arial" w:hAnsi="Arial" w:cs="Arial"/>
          <w:sz w:val="24"/>
          <w:szCs w:val="24"/>
        </w:rPr>
        <w:t>.</w:t>
      </w:r>
    </w:p>
    <w:p w:rsidR="00FD7575" w:rsidRPr="000A6362" w:rsidRDefault="00FD7575" w:rsidP="00FA30D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</w:p>
    <w:p w:rsidR="00AC74FD" w:rsidRPr="000A6362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A6362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0A636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750411" w:rsidRPr="00E041C6" w:rsidRDefault="00750411" w:rsidP="00FA30D9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0A636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A6362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E041C6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:rsidR="00E041C6" w:rsidRPr="001872FD" w:rsidRDefault="00BB6EE1" w:rsidP="00FA30D9">
      <w:pPr>
        <w:pStyle w:val="ListParagraph"/>
        <w:numPr>
          <w:ilvl w:val="1"/>
          <w:numId w:val="29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Meningkatkan kinerja dibidang perencanaan</w:t>
      </w:r>
      <w:r w:rsidR="001872FD">
        <w:rPr>
          <w:rFonts w:ascii="Arial" w:hAnsi="Arial" w:cs="Arial"/>
          <w:color w:val="000000"/>
          <w:sz w:val="24"/>
          <w:szCs w:val="24"/>
        </w:rPr>
        <w:t>;</w:t>
      </w:r>
    </w:p>
    <w:p w:rsidR="001872FD" w:rsidRPr="001872FD" w:rsidRDefault="00C2720F" w:rsidP="00FA30D9">
      <w:pPr>
        <w:pStyle w:val="ListParagraph"/>
        <w:numPr>
          <w:ilvl w:val="1"/>
          <w:numId w:val="29"/>
        </w:numPr>
        <w:tabs>
          <w:tab w:val="left" w:pos="9072"/>
        </w:tabs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menghimpun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bahan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awal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sehingga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B6EE1">
        <w:rPr>
          <w:rFonts w:ascii="Arial" w:hAnsi="Arial" w:cs="Arial"/>
          <w:color w:val="000000"/>
          <w:sz w:val="24"/>
          <w:szCs w:val="24"/>
          <w:lang w:val="id-ID"/>
        </w:rPr>
        <w:t xml:space="preserve">pengumpulan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perencanaan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lebih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cepat</w:t>
      </w:r>
      <w:proofErr w:type="spellEnd"/>
      <w:r w:rsidR="001872FD">
        <w:rPr>
          <w:rFonts w:ascii="Arial" w:hAnsi="Arial" w:cs="Arial"/>
          <w:color w:val="000000"/>
          <w:sz w:val="24"/>
          <w:szCs w:val="24"/>
        </w:rPr>
        <w:t>.</w:t>
      </w:r>
    </w:p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8801CF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Default="00334EE5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AE4E4D">
        <w:rPr>
          <w:rFonts w:ascii="Arial" w:hAnsi="Arial" w:cs="Arial"/>
          <w:sz w:val="24"/>
          <w:szCs w:val="24"/>
        </w:rPr>
        <w:t xml:space="preserve"> </w:t>
      </w:r>
      <w:r w:rsidR="00BB6EE1">
        <w:rPr>
          <w:rFonts w:ascii="Arial" w:hAnsi="Arial" w:cs="Arial"/>
          <w:sz w:val="24"/>
          <w:szCs w:val="24"/>
          <w:lang w:val="id-ID"/>
        </w:rPr>
        <w:t>Perencanaan dan Program</w:t>
      </w:r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Sub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Perencanaan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216A" w:rsidRDefault="0099216A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FA30D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  <w:lang w:val="id-ID"/>
              </w:rPr>
              <w:t>FAUJI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, SAP</w:t>
            </w:r>
          </w:p>
          <w:p w:rsidR="000A5EBC" w:rsidRPr="00D560F2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60F2">
              <w:rPr>
                <w:rFonts w:ascii="Arial" w:hAnsi="Arial" w:cs="Arial"/>
                <w:sz w:val="24"/>
                <w:szCs w:val="24"/>
                <w:lang w:val="id-ID"/>
              </w:rPr>
              <w:t>Tk. I</w:t>
            </w:r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NIP.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19680417 199202 1 004</w:t>
            </w:r>
          </w:p>
          <w:p w:rsidR="00334EE5" w:rsidRPr="00E041C6" w:rsidRDefault="00334EE5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0F2681" w:rsidRDefault="00E041C6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D560F2">
              <w:rPr>
                <w:rFonts w:ascii="Arial" w:hAnsi="Arial" w:cs="Arial"/>
                <w:sz w:val="24"/>
                <w:szCs w:val="24"/>
                <w:lang w:val="id-ID"/>
              </w:rPr>
              <w:t>Juli 2019</w:t>
            </w:r>
          </w:p>
          <w:p w:rsidR="00644D57" w:rsidRPr="00E041C6" w:rsidRDefault="00C2720F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</w:t>
            </w:r>
            <w:proofErr w:type="spellStart"/>
            <w:r>
              <w:rPr>
                <w:rFonts w:ascii="Arial" w:hAnsi="Arial" w:cs="Arial"/>
                <w:sz w:val="24"/>
              </w:rPr>
              <w:t>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Perencanaan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Program</w:t>
            </w:r>
          </w:p>
          <w:p w:rsidR="00FA30D9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A30D9" w:rsidRPr="00E041C6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44D57" w:rsidRPr="00E041C6" w:rsidRDefault="00644D57" w:rsidP="00FA30D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334EE5" w:rsidRPr="00E041C6" w:rsidRDefault="00C2720F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EVI ULANDARI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B421E" w:rsidRPr="00C70AC6" w:rsidRDefault="00EB421E" w:rsidP="00FA30D9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FA30D9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7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5"/>
  </w:num>
  <w:num w:numId="7">
    <w:abstractNumId w:val="23"/>
  </w:num>
  <w:num w:numId="8">
    <w:abstractNumId w:val="1"/>
  </w:num>
  <w:num w:numId="9">
    <w:abstractNumId w:val="21"/>
  </w:num>
  <w:num w:numId="10">
    <w:abstractNumId w:val="2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0"/>
  </w:num>
  <w:num w:numId="16">
    <w:abstractNumId w:val="26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7"/>
  </w:num>
  <w:num w:numId="22">
    <w:abstractNumId w:val="16"/>
  </w:num>
  <w:num w:numId="23">
    <w:abstractNumId w:val="3"/>
  </w:num>
  <w:num w:numId="24">
    <w:abstractNumId w:val="13"/>
  </w:num>
  <w:num w:numId="25">
    <w:abstractNumId w:val="11"/>
  </w:num>
  <w:num w:numId="26">
    <w:abstractNumId w:val="2"/>
  </w:num>
  <w:num w:numId="27">
    <w:abstractNumId w:val="25"/>
  </w:num>
  <w:num w:numId="28">
    <w:abstractNumId w:val="24"/>
  </w:num>
  <w:num w:numId="29">
    <w:abstractNumId w:val="12"/>
  </w:num>
  <w:num w:numId="30">
    <w:abstractNumId w:val="1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408CC"/>
    <w:rsid w:val="000A1C47"/>
    <w:rsid w:val="000A5EBC"/>
    <w:rsid w:val="000A6362"/>
    <w:rsid w:val="000C2C5E"/>
    <w:rsid w:val="000F2681"/>
    <w:rsid w:val="00127798"/>
    <w:rsid w:val="001658C2"/>
    <w:rsid w:val="00171AB0"/>
    <w:rsid w:val="001872FD"/>
    <w:rsid w:val="001A27E9"/>
    <w:rsid w:val="001C3F94"/>
    <w:rsid w:val="002260D9"/>
    <w:rsid w:val="002818AC"/>
    <w:rsid w:val="002C5FE9"/>
    <w:rsid w:val="002F31B5"/>
    <w:rsid w:val="0031152C"/>
    <w:rsid w:val="00314536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37DE9"/>
    <w:rsid w:val="00644D57"/>
    <w:rsid w:val="00667274"/>
    <w:rsid w:val="00703133"/>
    <w:rsid w:val="0073037A"/>
    <w:rsid w:val="00742FB4"/>
    <w:rsid w:val="00744E66"/>
    <w:rsid w:val="00750411"/>
    <w:rsid w:val="00781830"/>
    <w:rsid w:val="007D2012"/>
    <w:rsid w:val="0085062A"/>
    <w:rsid w:val="008801CF"/>
    <w:rsid w:val="00893E81"/>
    <w:rsid w:val="008E191E"/>
    <w:rsid w:val="00910DDC"/>
    <w:rsid w:val="00931AE7"/>
    <w:rsid w:val="00956BB9"/>
    <w:rsid w:val="009705BC"/>
    <w:rsid w:val="00987106"/>
    <w:rsid w:val="0099216A"/>
    <w:rsid w:val="009D0F72"/>
    <w:rsid w:val="009D5F6E"/>
    <w:rsid w:val="009D7B5D"/>
    <w:rsid w:val="009D7F62"/>
    <w:rsid w:val="00A74D06"/>
    <w:rsid w:val="00A753A4"/>
    <w:rsid w:val="00AA5109"/>
    <w:rsid w:val="00AC74FD"/>
    <w:rsid w:val="00AE4E4D"/>
    <w:rsid w:val="00B133D8"/>
    <w:rsid w:val="00B21A6B"/>
    <w:rsid w:val="00B37E8A"/>
    <w:rsid w:val="00B9108F"/>
    <w:rsid w:val="00B97695"/>
    <w:rsid w:val="00BB6EE1"/>
    <w:rsid w:val="00BC39BD"/>
    <w:rsid w:val="00BE509B"/>
    <w:rsid w:val="00C2720F"/>
    <w:rsid w:val="00C50820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E041C6"/>
    <w:rsid w:val="00E1014E"/>
    <w:rsid w:val="00EA7B0E"/>
    <w:rsid w:val="00EB421E"/>
    <w:rsid w:val="00EB750B"/>
    <w:rsid w:val="00EC6853"/>
    <w:rsid w:val="00ED36EC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3FEE8-A840-47B4-9F41-40980C8C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0132-4044-43C6-91D2-4351FF0E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</cp:lastModifiedBy>
  <cp:revision>4</cp:revision>
  <cp:lastPrinted>2020-03-03T06:48:00Z</cp:lastPrinted>
  <dcterms:created xsi:type="dcterms:W3CDTF">2020-03-03T06:48:00Z</dcterms:created>
  <dcterms:modified xsi:type="dcterms:W3CDTF">2020-03-09T06:37:00Z</dcterms:modified>
</cp:coreProperties>
</file>